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2E96" w14:textId="6DB72056" w:rsidR="00964796" w:rsidRPr="00DD6BD3" w:rsidRDefault="00964796" w:rsidP="00DD6BD3">
      <w:pPr>
        <w:spacing w:after="0"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DD6BD3">
        <w:rPr>
          <w:rFonts w:ascii="Tahoma" w:hAnsi="Tahoma" w:cs="Tahoma"/>
          <w:b/>
          <w:bCs/>
          <w:sz w:val="28"/>
          <w:szCs w:val="28"/>
        </w:rPr>
        <w:t>Kodeks Partnerów Biznesowych Grupy UNIMOT</w:t>
      </w:r>
    </w:p>
    <w:p w14:paraId="3D9EAF51" w14:textId="77777777" w:rsidR="00DD6BD3" w:rsidRDefault="00DD6BD3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F1F17CE" w14:textId="77777777" w:rsidR="008547C6" w:rsidRDefault="008547C6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D5260CB" w14:textId="6A711427" w:rsidR="006F6DC1" w:rsidRDefault="006F6DC1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Wstęp</w:t>
      </w:r>
    </w:p>
    <w:p w14:paraId="2649DAF6" w14:textId="77777777" w:rsidR="00702DAD" w:rsidRPr="00702DAD" w:rsidRDefault="00702DAD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10A23ABF" w14:textId="4E99D04D" w:rsidR="00B11F6B" w:rsidRDefault="00B11F6B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W Grupie UNIMOT wierzy</w:t>
      </w:r>
      <w:r w:rsidR="003D077E" w:rsidRPr="00702DAD">
        <w:rPr>
          <w:rFonts w:ascii="Tahoma" w:hAnsi="Tahoma" w:cs="Tahoma"/>
          <w:sz w:val="20"/>
          <w:szCs w:val="20"/>
        </w:rPr>
        <w:t>my</w:t>
      </w:r>
      <w:r w:rsidRPr="00702DAD">
        <w:rPr>
          <w:rFonts w:ascii="Tahoma" w:hAnsi="Tahoma" w:cs="Tahoma"/>
          <w:sz w:val="20"/>
          <w:szCs w:val="20"/>
        </w:rPr>
        <w:t>, że trwałe i odpowiedzialne relacje biznesowe opierają się na wspólnych wartościach, które stanowią fundament zaufania i klucz do budowy zrównoważonych łańcuchów dostaw – a szerzej: bardziej zrównoważonego świata.</w:t>
      </w:r>
    </w:p>
    <w:p w14:paraId="14292262" w14:textId="77777777" w:rsidR="00702DAD" w:rsidRPr="00702DAD" w:rsidRDefault="00702DAD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2DFF6745" w14:textId="48D589BE" w:rsidR="00B11F6B" w:rsidRDefault="00B11F6B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Kodeks Partnerów Biznesowych Grupy UNIMOT </w:t>
      </w:r>
      <w:r w:rsidR="009A62DD" w:rsidRPr="00702DAD">
        <w:rPr>
          <w:rFonts w:ascii="Tahoma" w:hAnsi="Tahoma" w:cs="Tahoma"/>
          <w:sz w:val="20"/>
          <w:szCs w:val="20"/>
        </w:rPr>
        <w:t xml:space="preserve">(“Kodeks”) </w:t>
      </w:r>
      <w:r w:rsidRPr="00702DAD">
        <w:rPr>
          <w:rFonts w:ascii="Tahoma" w:hAnsi="Tahoma" w:cs="Tahoma"/>
          <w:sz w:val="20"/>
          <w:szCs w:val="20"/>
        </w:rPr>
        <w:t>określa standardy odpowiedzialnej współpracy w zakresie etyki biznesowej, poszanowania praw człowieka i praw pracowniczych, ochrony środowiska,</w:t>
      </w:r>
      <w:r w:rsidR="009A62DD" w:rsidRPr="00702DAD">
        <w:rPr>
          <w:rFonts w:ascii="Tahoma" w:hAnsi="Tahoma" w:cs="Tahoma"/>
          <w:sz w:val="20"/>
          <w:szCs w:val="20"/>
        </w:rPr>
        <w:t xml:space="preserve"> </w:t>
      </w:r>
      <w:r w:rsidRPr="00702DAD">
        <w:rPr>
          <w:rFonts w:ascii="Tahoma" w:hAnsi="Tahoma" w:cs="Tahoma"/>
          <w:sz w:val="20"/>
          <w:szCs w:val="20"/>
        </w:rPr>
        <w:t>przestrzegania regulacji antykorupcyjnych oraz odpowiedzialności społecznej</w:t>
      </w:r>
      <w:r w:rsidR="003D077E" w:rsidRPr="00702DAD">
        <w:rPr>
          <w:rFonts w:ascii="Tahoma" w:hAnsi="Tahoma" w:cs="Tahoma"/>
          <w:sz w:val="20"/>
          <w:szCs w:val="20"/>
        </w:rPr>
        <w:t xml:space="preserve"> </w:t>
      </w:r>
      <w:r w:rsidRPr="00702DAD">
        <w:rPr>
          <w:rFonts w:ascii="Tahoma" w:hAnsi="Tahoma" w:cs="Tahoma"/>
          <w:sz w:val="20"/>
          <w:szCs w:val="20"/>
        </w:rPr>
        <w:t>i</w:t>
      </w:r>
      <w:r w:rsidR="006554D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korporacyjnej.</w:t>
      </w:r>
      <w:r w:rsidR="009A62DD" w:rsidRPr="00702DAD">
        <w:rPr>
          <w:rFonts w:ascii="Tahoma" w:hAnsi="Tahoma" w:cs="Tahoma"/>
          <w:sz w:val="20"/>
          <w:szCs w:val="20"/>
        </w:rPr>
        <w:t xml:space="preserve"> Kodeks dotyczy wszystkich dostawców, podwykonawców, dystrybutorów, agentów, przedstawicieli handlowych oraz innych partnerów biznesowych (“Partnerzy Biznesowi”).</w:t>
      </w:r>
    </w:p>
    <w:p w14:paraId="183F55BB" w14:textId="77777777" w:rsidR="00702DAD" w:rsidRPr="00702DAD" w:rsidRDefault="00702DAD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1B4C8D25" w14:textId="078FBBFD" w:rsidR="007E616E" w:rsidRPr="00702DAD" w:rsidRDefault="00B11F6B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Grupa UNIMOT oczekuje, że jej Partnerzy Biznesowi będą aktywnie przestrzegać tych zasad oraz współpracować przy ich wdrażaniu i doskonaleniu. W celu zapewnienia ich przestrzegania, Grupa UNIMOT może dokonywać okresowej weryfikacji działań partnerów w tym zakresie.</w:t>
      </w:r>
    </w:p>
    <w:p w14:paraId="3A5445C4" w14:textId="77777777" w:rsidR="00702DAD" w:rsidRPr="00702DAD" w:rsidRDefault="00702DAD" w:rsidP="00DD6BD3">
      <w:pPr>
        <w:spacing w:after="120" w:line="276" w:lineRule="auto"/>
        <w:rPr>
          <w:rFonts w:ascii="Tahoma" w:hAnsi="Tahoma" w:cs="Tahoma"/>
          <w:sz w:val="20"/>
          <w:szCs w:val="20"/>
        </w:rPr>
      </w:pPr>
    </w:p>
    <w:p w14:paraId="685242F2" w14:textId="3B5F1B1F" w:rsidR="00D36912" w:rsidRPr="00702DAD" w:rsidRDefault="008B0295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ZGODNOŚĆ Z REGULACJAMI</w:t>
      </w:r>
    </w:p>
    <w:p w14:paraId="05E85BC2" w14:textId="0174FCC6" w:rsidR="009C4CCF" w:rsidRPr="00702DAD" w:rsidRDefault="009C4CCF" w:rsidP="00702DAD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656FDAA3" w14:textId="4CA0E60C" w:rsidR="00D36912" w:rsidRPr="00702DAD" w:rsidRDefault="00A94CD2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bookmarkStart w:id="0" w:name="_Hlk203034230"/>
      <w:r w:rsidRPr="00702DAD">
        <w:rPr>
          <w:rFonts w:ascii="Tahoma" w:hAnsi="Tahoma" w:cs="Tahoma"/>
          <w:sz w:val="20"/>
          <w:szCs w:val="20"/>
        </w:rPr>
        <w:t xml:space="preserve">Zasady oraz wymagania </w:t>
      </w:r>
      <w:r w:rsidR="00025C1F" w:rsidRPr="00702DAD">
        <w:rPr>
          <w:rFonts w:ascii="Tahoma" w:hAnsi="Tahoma" w:cs="Tahoma"/>
          <w:sz w:val="20"/>
          <w:szCs w:val="20"/>
        </w:rPr>
        <w:t>zawarte w Kodeksie Postępowania Partner</w:t>
      </w:r>
      <w:r w:rsidR="00AA6E9E">
        <w:rPr>
          <w:rFonts w:ascii="Tahoma" w:hAnsi="Tahoma" w:cs="Tahoma"/>
          <w:sz w:val="20"/>
          <w:szCs w:val="20"/>
        </w:rPr>
        <w:t>ów</w:t>
      </w:r>
      <w:r w:rsidR="00025C1F" w:rsidRPr="00702DAD">
        <w:rPr>
          <w:rFonts w:ascii="Tahoma" w:hAnsi="Tahoma" w:cs="Tahoma"/>
          <w:sz w:val="20"/>
          <w:szCs w:val="20"/>
        </w:rPr>
        <w:t xml:space="preserve"> Biznesow</w:t>
      </w:r>
      <w:r w:rsidR="00AA6E9E">
        <w:rPr>
          <w:rFonts w:ascii="Tahoma" w:hAnsi="Tahoma" w:cs="Tahoma"/>
          <w:sz w:val="20"/>
          <w:szCs w:val="20"/>
        </w:rPr>
        <w:t>ych</w:t>
      </w:r>
      <w:r w:rsidR="00025C1F" w:rsidRPr="00702DAD">
        <w:rPr>
          <w:rFonts w:ascii="Tahoma" w:hAnsi="Tahoma" w:cs="Tahoma"/>
          <w:sz w:val="20"/>
          <w:szCs w:val="20"/>
        </w:rPr>
        <w:t xml:space="preserve"> Grupy UNIMOT</w:t>
      </w:r>
      <w:r w:rsidRPr="00702DAD">
        <w:rPr>
          <w:rFonts w:ascii="Tahoma" w:hAnsi="Tahoma" w:cs="Tahoma"/>
          <w:sz w:val="20"/>
          <w:szCs w:val="20"/>
        </w:rPr>
        <w:t xml:space="preserve"> oparte są na uznanych </w:t>
      </w:r>
      <w:r w:rsidR="00D36912" w:rsidRPr="00702DAD">
        <w:rPr>
          <w:rFonts w:ascii="Tahoma" w:hAnsi="Tahoma" w:cs="Tahoma"/>
          <w:sz w:val="20"/>
          <w:szCs w:val="20"/>
        </w:rPr>
        <w:t xml:space="preserve">na arenie krajowej i międzynarodowej </w:t>
      </w:r>
      <w:r w:rsidRPr="00702DAD">
        <w:rPr>
          <w:rFonts w:ascii="Tahoma" w:hAnsi="Tahoma" w:cs="Tahoma"/>
          <w:sz w:val="20"/>
          <w:szCs w:val="20"/>
        </w:rPr>
        <w:t>standardach</w:t>
      </w:r>
      <w:r w:rsidR="00B11F6B" w:rsidRPr="00702DAD">
        <w:rPr>
          <w:rFonts w:ascii="Tahoma" w:hAnsi="Tahoma" w:cs="Tahoma"/>
          <w:sz w:val="20"/>
          <w:szCs w:val="20"/>
        </w:rPr>
        <w:t xml:space="preserve"> porządku </w:t>
      </w:r>
      <w:r w:rsidR="009A62DD" w:rsidRPr="00702DAD">
        <w:rPr>
          <w:rFonts w:ascii="Tahoma" w:hAnsi="Tahoma" w:cs="Tahoma"/>
          <w:sz w:val="20"/>
          <w:szCs w:val="20"/>
        </w:rPr>
        <w:t>prawnego</w:t>
      </w:r>
      <w:r w:rsidR="00D36912" w:rsidRPr="00702DAD">
        <w:rPr>
          <w:rFonts w:ascii="Tahoma" w:hAnsi="Tahoma" w:cs="Tahoma"/>
          <w:sz w:val="20"/>
          <w:szCs w:val="20"/>
        </w:rPr>
        <w:t>, takich jak</w:t>
      </w:r>
      <w:r w:rsidR="00B11F6B" w:rsidRPr="00702DAD">
        <w:rPr>
          <w:rFonts w:ascii="Tahoma" w:hAnsi="Tahoma" w:cs="Tahoma"/>
          <w:sz w:val="20"/>
          <w:szCs w:val="20"/>
        </w:rPr>
        <w:t xml:space="preserve"> w szczeg</w:t>
      </w:r>
      <w:r w:rsidR="009A62DD" w:rsidRPr="00702DAD">
        <w:rPr>
          <w:rFonts w:ascii="Tahoma" w:hAnsi="Tahoma" w:cs="Tahoma"/>
          <w:sz w:val="20"/>
          <w:szCs w:val="20"/>
        </w:rPr>
        <w:t>ólności</w:t>
      </w:r>
      <w:r w:rsidR="00D36912" w:rsidRPr="00702DAD">
        <w:rPr>
          <w:rFonts w:ascii="Tahoma" w:hAnsi="Tahoma" w:cs="Tahoma"/>
          <w:sz w:val="20"/>
          <w:szCs w:val="20"/>
        </w:rPr>
        <w:t>:</w:t>
      </w:r>
    </w:p>
    <w:p w14:paraId="58E6F40C" w14:textId="2FA6D728" w:rsidR="00D36912" w:rsidRPr="00702DAD" w:rsidRDefault="00D36912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1) Międzynarodowej Karcie Praw Człowieka, na którą składają się Powszechna Deklaracja Praw Człowieka ONZ, Międzynarodowy Pakt Praw Obywatelskich i Politycznych oraz Międzynarodowy Pakt Praw Gospodarczych, Społecznych i Kulturalnych, </w:t>
      </w:r>
    </w:p>
    <w:p w14:paraId="794D7AA3" w14:textId="38C982B5" w:rsidR="00D36912" w:rsidRPr="00702DAD" w:rsidRDefault="00D36912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2) Deklaracji Międzynarodowej Organizacji Pracy dotyczącej Podstawowych Zasad i Praw w Pracy odnoszącej się do 8 konwencji podstawowych MOP: nr 29, 87, 98, 100, 105, 111, 138 i 182, </w:t>
      </w:r>
    </w:p>
    <w:p w14:paraId="7AE75357" w14:textId="3FAAED15" w:rsidR="00D36912" w:rsidRPr="00702DAD" w:rsidRDefault="00D36912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3) założeniach „Agendy 2030 na rzecz zrównoważonego rozwoju” ONZ (UN Sustainable Development Goals – SDGs), </w:t>
      </w:r>
    </w:p>
    <w:p w14:paraId="3F4B1C17" w14:textId="50A508E3" w:rsidR="00D36912" w:rsidRPr="00702DAD" w:rsidRDefault="00D36912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4)  Wytycznych ONZ dotyczących biznesu i praw człowieka (UNGPs) oraz Wytycznych OECD. </w:t>
      </w:r>
    </w:p>
    <w:p w14:paraId="3B8EDE53" w14:textId="77777777" w:rsidR="00702DAD" w:rsidRDefault="00702DAD" w:rsidP="00DD6BD3">
      <w:pPr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bookmarkStart w:id="1" w:name="_Hlk203034892"/>
      <w:bookmarkEnd w:id="0"/>
    </w:p>
    <w:p w14:paraId="51C89670" w14:textId="39B82332" w:rsidR="005A61E2" w:rsidRDefault="005A61E2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ETYKA BIZNESU</w:t>
      </w:r>
    </w:p>
    <w:p w14:paraId="664DC78F" w14:textId="77777777" w:rsidR="00702DAD" w:rsidRPr="00702DAD" w:rsidRDefault="00702DAD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E23D563" w14:textId="04EA6F32" w:rsidR="00AD2D85" w:rsidRDefault="00AD2D85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Grupa UNIMOT oczekuje od Partnerów </w:t>
      </w:r>
      <w:r w:rsidR="00EA5C8A" w:rsidRPr="00702DAD">
        <w:rPr>
          <w:rFonts w:ascii="Tahoma" w:hAnsi="Tahoma" w:cs="Tahoma"/>
          <w:sz w:val="20"/>
          <w:szCs w:val="20"/>
        </w:rPr>
        <w:t xml:space="preserve">Biznesowych </w:t>
      </w:r>
      <w:r w:rsidRPr="00702DAD">
        <w:rPr>
          <w:rFonts w:ascii="Tahoma" w:hAnsi="Tahoma" w:cs="Tahoma"/>
          <w:sz w:val="20"/>
          <w:szCs w:val="20"/>
        </w:rPr>
        <w:t xml:space="preserve">przestrzegania zasad etycznych w szczególności poprzez </w:t>
      </w:r>
      <w:r w:rsidR="00451567" w:rsidRPr="00702DAD">
        <w:rPr>
          <w:rFonts w:ascii="Tahoma" w:hAnsi="Tahoma" w:cs="Tahoma"/>
          <w:sz w:val="20"/>
          <w:szCs w:val="20"/>
        </w:rPr>
        <w:t>zapewni</w:t>
      </w:r>
      <w:r w:rsidR="00B606D4" w:rsidRPr="00702DAD">
        <w:rPr>
          <w:rFonts w:ascii="Tahoma" w:hAnsi="Tahoma" w:cs="Tahoma"/>
          <w:sz w:val="20"/>
          <w:szCs w:val="20"/>
        </w:rPr>
        <w:t>a</w:t>
      </w:r>
      <w:r w:rsidR="00451567" w:rsidRPr="00702DAD">
        <w:rPr>
          <w:rFonts w:ascii="Tahoma" w:hAnsi="Tahoma" w:cs="Tahoma"/>
          <w:sz w:val="20"/>
          <w:szCs w:val="20"/>
        </w:rPr>
        <w:t>nie działań zgodn</w:t>
      </w:r>
      <w:r w:rsidR="006408D5" w:rsidRPr="00702DAD">
        <w:rPr>
          <w:rFonts w:ascii="Tahoma" w:hAnsi="Tahoma" w:cs="Tahoma"/>
          <w:sz w:val="20"/>
          <w:szCs w:val="20"/>
        </w:rPr>
        <w:t>ych</w:t>
      </w:r>
      <w:r w:rsidR="00451567" w:rsidRPr="00702DAD">
        <w:rPr>
          <w:rFonts w:ascii="Tahoma" w:hAnsi="Tahoma" w:cs="Tahoma"/>
          <w:sz w:val="20"/>
          <w:szCs w:val="20"/>
        </w:rPr>
        <w:t xml:space="preserve"> z </w:t>
      </w:r>
      <w:r w:rsidRPr="00702DAD">
        <w:rPr>
          <w:rFonts w:ascii="Tahoma" w:hAnsi="Tahoma" w:cs="Tahoma"/>
          <w:sz w:val="20"/>
          <w:szCs w:val="20"/>
        </w:rPr>
        <w:t>poniższymi zobowiązaniami:</w:t>
      </w:r>
    </w:p>
    <w:p w14:paraId="1B9A4CA0" w14:textId="77777777" w:rsidR="00702DAD" w:rsidRPr="00702DAD" w:rsidRDefault="00702DAD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0EE1E8BB" w14:textId="1CA3B9C5" w:rsidR="008F78A2" w:rsidRPr="00702DAD" w:rsidRDefault="008F78A2" w:rsidP="00702DAD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Dane osobowe</w:t>
      </w:r>
      <w:r w:rsidR="00B606D4" w:rsidRPr="00702DAD">
        <w:rPr>
          <w:rFonts w:ascii="Tahoma" w:hAnsi="Tahoma" w:cs="Tahoma"/>
          <w:b/>
          <w:bCs/>
          <w:sz w:val="20"/>
          <w:szCs w:val="20"/>
        </w:rPr>
        <w:t xml:space="preserve"> i</w:t>
      </w:r>
      <w:r w:rsidRPr="00702DAD">
        <w:rPr>
          <w:rFonts w:ascii="Tahoma" w:hAnsi="Tahoma" w:cs="Tahoma"/>
          <w:b/>
          <w:bCs/>
          <w:sz w:val="20"/>
          <w:szCs w:val="20"/>
        </w:rPr>
        <w:t xml:space="preserve"> informacje poufne </w:t>
      </w:r>
    </w:p>
    <w:p w14:paraId="24D23D46" w14:textId="433D5BE2" w:rsidR="008F78A2" w:rsidRDefault="004F3ADB" w:rsidP="00702DAD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Partnerzy Biznesowi zobowiązani są do ochrony i właściwego przetwarzania danych osobowych oraz informacji poufnych uzyskanych w związku ze współpracą z Grupą UNIMOT. Dane osobowe podlegają ochronie zgodnie z obowiązującymi przepisami prawa, a ich przetwarzanie może odbywać się wyłącznie </w:t>
      </w:r>
      <w:r w:rsidR="00B13740" w:rsidRPr="00702DAD">
        <w:rPr>
          <w:rFonts w:ascii="Tahoma" w:hAnsi="Tahoma" w:cs="Tahoma"/>
          <w:sz w:val="20"/>
          <w:szCs w:val="20"/>
        </w:rPr>
        <w:t>w oparciu o</w:t>
      </w:r>
      <w:r w:rsidRPr="00702DAD">
        <w:rPr>
          <w:rFonts w:ascii="Tahoma" w:hAnsi="Tahoma" w:cs="Tahoma"/>
          <w:sz w:val="20"/>
          <w:szCs w:val="20"/>
        </w:rPr>
        <w:t xml:space="preserve"> </w:t>
      </w:r>
      <w:r w:rsidR="00B13740" w:rsidRPr="00702DAD">
        <w:rPr>
          <w:rFonts w:ascii="Tahoma" w:hAnsi="Tahoma" w:cs="Tahoma"/>
          <w:sz w:val="20"/>
          <w:szCs w:val="20"/>
        </w:rPr>
        <w:t>odpowiednią podstawę prawną</w:t>
      </w:r>
      <w:r w:rsidRPr="00702DAD">
        <w:rPr>
          <w:rFonts w:ascii="Tahoma" w:hAnsi="Tahoma" w:cs="Tahoma"/>
          <w:sz w:val="20"/>
          <w:szCs w:val="20"/>
        </w:rPr>
        <w:t>.</w:t>
      </w:r>
    </w:p>
    <w:p w14:paraId="35D90E6D" w14:textId="77777777" w:rsidR="00702DAD" w:rsidRPr="00702DAD" w:rsidRDefault="00702DAD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4FD8B592" w14:textId="77777777" w:rsidR="008F78A2" w:rsidRPr="00702DAD" w:rsidRDefault="008F78A2" w:rsidP="00702DAD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 xml:space="preserve">Konflikt interesów </w:t>
      </w:r>
    </w:p>
    <w:p w14:paraId="5C2EFD8F" w14:textId="0C84A16E" w:rsidR="004F3ADB" w:rsidRDefault="004F3ADB" w:rsidP="00702DAD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Partnerzy Biznesowi powinni podejmować wszelkie możliwe działania w celu unikania sytuacji faktycznego lub pozornego konfliktu interesów z Grupą UNIMOT. Wszelkie przypadki rzeczywistego lub potencjalnego konfliktu interesów powinny być niezwłocznie zgłaszane Grupie UNIMOT.</w:t>
      </w:r>
    </w:p>
    <w:p w14:paraId="4007FE47" w14:textId="77777777" w:rsidR="00702DAD" w:rsidRPr="00702DAD" w:rsidRDefault="00702DAD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705EDA55" w14:textId="77777777" w:rsidR="00084676" w:rsidRPr="00702DAD" w:rsidRDefault="008F78A2" w:rsidP="00702DAD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 xml:space="preserve">Uczciwa konkurencja </w:t>
      </w:r>
    </w:p>
    <w:p w14:paraId="2519FD55" w14:textId="73B05059" w:rsidR="004F3ADB" w:rsidRDefault="00416A23" w:rsidP="00702DAD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Partnerzy </w:t>
      </w:r>
      <w:r w:rsidR="00EA5C8A" w:rsidRPr="00702DAD">
        <w:rPr>
          <w:rFonts w:ascii="Tahoma" w:hAnsi="Tahoma" w:cs="Tahoma"/>
          <w:sz w:val="20"/>
          <w:szCs w:val="20"/>
        </w:rPr>
        <w:t>B</w:t>
      </w:r>
      <w:r w:rsidRPr="00702DAD">
        <w:rPr>
          <w:rFonts w:ascii="Tahoma" w:hAnsi="Tahoma" w:cs="Tahoma"/>
          <w:sz w:val="20"/>
          <w:szCs w:val="20"/>
        </w:rPr>
        <w:t>iznesowi są zobowiązani do</w:t>
      </w:r>
      <w:r w:rsidR="00F93ED0" w:rsidRPr="00702DAD">
        <w:rPr>
          <w:rFonts w:ascii="Tahoma" w:hAnsi="Tahoma" w:cs="Tahoma"/>
          <w:sz w:val="20"/>
          <w:szCs w:val="20"/>
        </w:rPr>
        <w:t xml:space="preserve"> </w:t>
      </w:r>
      <w:r w:rsidRPr="00702DAD">
        <w:rPr>
          <w:rFonts w:ascii="Tahoma" w:hAnsi="Tahoma" w:cs="Tahoma"/>
          <w:sz w:val="20"/>
          <w:szCs w:val="20"/>
        </w:rPr>
        <w:t xml:space="preserve">bezwzględnego </w:t>
      </w:r>
      <w:r w:rsidR="00F93ED0" w:rsidRPr="00702DAD">
        <w:rPr>
          <w:rFonts w:ascii="Tahoma" w:hAnsi="Tahoma" w:cs="Tahoma"/>
          <w:sz w:val="20"/>
          <w:szCs w:val="20"/>
        </w:rPr>
        <w:t xml:space="preserve">przestrzega przepisów antymonopolowych i zasad uczciwej konkurencji. </w:t>
      </w:r>
      <w:r w:rsidR="004F3ADB" w:rsidRPr="00702DAD">
        <w:rPr>
          <w:rFonts w:ascii="Tahoma" w:hAnsi="Tahoma" w:cs="Tahoma"/>
          <w:sz w:val="20"/>
          <w:szCs w:val="20"/>
        </w:rPr>
        <w:t>Grupa UNIMOT oczekuje również, że Partnerzy Biznesowi nie będą uczestniczyć w zmowach cenowych, podziałach rynku ani w żadnych innych praktykach ograniczających konkurencję.</w:t>
      </w:r>
    </w:p>
    <w:p w14:paraId="1AD1D483" w14:textId="77777777" w:rsidR="00702DAD" w:rsidRPr="00702DAD" w:rsidRDefault="00702DAD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7D530C93" w14:textId="5AD190BD" w:rsidR="000F3458" w:rsidRPr="00702DAD" w:rsidRDefault="008F78A2" w:rsidP="00702DAD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 xml:space="preserve">Zgodność z przepisami dotyczącymi </w:t>
      </w:r>
      <w:r w:rsidR="000F3458" w:rsidRPr="00702DAD">
        <w:rPr>
          <w:rFonts w:ascii="Tahoma" w:hAnsi="Tahoma" w:cs="Tahoma"/>
          <w:b/>
          <w:bCs/>
          <w:sz w:val="20"/>
          <w:szCs w:val="20"/>
        </w:rPr>
        <w:t>handlu globalnego</w:t>
      </w:r>
    </w:p>
    <w:p w14:paraId="2BD5D8CE" w14:textId="4FE5D34D" w:rsidR="004F3ADB" w:rsidRDefault="008F78A2" w:rsidP="00702DAD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bookmarkStart w:id="2" w:name="_Hlk203036054"/>
      <w:r w:rsidRPr="00702DAD">
        <w:rPr>
          <w:rFonts w:ascii="Tahoma" w:hAnsi="Tahoma" w:cs="Tahoma"/>
          <w:sz w:val="20"/>
          <w:szCs w:val="20"/>
        </w:rPr>
        <w:t xml:space="preserve">Partnerzy Biznesowi </w:t>
      </w:r>
      <w:bookmarkEnd w:id="2"/>
      <w:r w:rsidR="000F3458" w:rsidRPr="00702DAD">
        <w:rPr>
          <w:rFonts w:ascii="Tahoma" w:hAnsi="Tahoma" w:cs="Tahoma"/>
          <w:sz w:val="20"/>
          <w:szCs w:val="20"/>
        </w:rPr>
        <w:t>są zobowiązani do przestrzegania</w:t>
      </w:r>
      <w:r w:rsidRPr="00702DAD">
        <w:rPr>
          <w:rFonts w:ascii="Tahoma" w:hAnsi="Tahoma" w:cs="Tahoma"/>
          <w:sz w:val="20"/>
          <w:szCs w:val="20"/>
        </w:rPr>
        <w:t xml:space="preserve"> wszystkich obowiązujących sankcji </w:t>
      </w:r>
      <w:r w:rsidR="004F3ADB" w:rsidRPr="00702DAD">
        <w:rPr>
          <w:rFonts w:ascii="Tahoma" w:hAnsi="Tahoma" w:cs="Tahoma"/>
          <w:sz w:val="20"/>
          <w:szCs w:val="20"/>
        </w:rPr>
        <w:t xml:space="preserve">oraz przepisów prawa handlu międzynarodowego, </w:t>
      </w:r>
      <w:r w:rsidR="00B13740" w:rsidRPr="00702DAD">
        <w:rPr>
          <w:rFonts w:ascii="Tahoma" w:hAnsi="Tahoma" w:cs="Tahoma"/>
          <w:sz w:val="20"/>
          <w:szCs w:val="20"/>
        </w:rPr>
        <w:t>mających zastosowanie do danej transakcji</w:t>
      </w:r>
      <w:r w:rsidR="004F3ADB" w:rsidRPr="00702DAD">
        <w:rPr>
          <w:rFonts w:ascii="Tahoma" w:hAnsi="Tahoma" w:cs="Tahoma"/>
          <w:sz w:val="20"/>
          <w:szCs w:val="20"/>
        </w:rPr>
        <w:t xml:space="preserve">. </w:t>
      </w:r>
    </w:p>
    <w:p w14:paraId="6AC603C5" w14:textId="77777777" w:rsidR="00702DAD" w:rsidRPr="00702DAD" w:rsidRDefault="00702DAD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703EF007" w14:textId="75D0B897" w:rsidR="000F3458" w:rsidRPr="00702DAD" w:rsidRDefault="000F3458" w:rsidP="00702DAD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 xml:space="preserve">Przeciwdziałanie korupcji </w:t>
      </w:r>
      <w:r w:rsidR="00791C88" w:rsidRPr="00702DAD">
        <w:rPr>
          <w:rFonts w:ascii="Tahoma" w:hAnsi="Tahoma" w:cs="Tahoma"/>
          <w:b/>
          <w:bCs/>
          <w:sz w:val="20"/>
          <w:szCs w:val="20"/>
        </w:rPr>
        <w:t>i praniu pieniędzy</w:t>
      </w:r>
    </w:p>
    <w:p w14:paraId="2886F9B1" w14:textId="18ABDF3A" w:rsidR="00662263" w:rsidRDefault="00662263" w:rsidP="00702DAD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Partnerzy Biznesowi zobowiązują się do niewykorzystywania jakichkolwiek praktyk korupcyjnych</w:t>
      </w:r>
      <w:r w:rsidR="003D077E" w:rsidRPr="00702DAD">
        <w:rPr>
          <w:rFonts w:ascii="Tahoma" w:hAnsi="Tahoma" w:cs="Tahoma"/>
          <w:sz w:val="20"/>
          <w:szCs w:val="20"/>
        </w:rPr>
        <w:t xml:space="preserve"> </w:t>
      </w:r>
      <w:r w:rsidRPr="00702DAD">
        <w:rPr>
          <w:rFonts w:ascii="Tahoma" w:hAnsi="Tahoma" w:cs="Tahoma"/>
          <w:sz w:val="20"/>
          <w:szCs w:val="20"/>
        </w:rPr>
        <w:t>w ramach prowadzonej działalności. Zobowiązani są również do przestrzegania wszystkich mających zastosowanie przepisów prawa krajowego i międzynarodowego w zakresie przeciwdziałania korupcji</w:t>
      </w:r>
      <w:r w:rsidR="00B13740" w:rsidRPr="00702DAD">
        <w:rPr>
          <w:rFonts w:ascii="Tahoma" w:hAnsi="Tahoma" w:cs="Tahoma"/>
          <w:sz w:val="20"/>
          <w:szCs w:val="20"/>
        </w:rPr>
        <w:t>,</w:t>
      </w:r>
      <w:r w:rsidRPr="00702DAD">
        <w:rPr>
          <w:rFonts w:ascii="Tahoma" w:hAnsi="Tahoma" w:cs="Tahoma"/>
          <w:sz w:val="20"/>
          <w:szCs w:val="20"/>
        </w:rPr>
        <w:t xml:space="preserve"> praniu pieniędzy</w:t>
      </w:r>
      <w:r w:rsidR="00B13740" w:rsidRPr="00702DAD">
        <w:rPr>
          <w:rFonts w:ascii="Tahoma" w:hAnsi="Tahoma" w:cs="Tahoma"/>
          <w:sz w:val="20"/>
          <w:szCs w:val="20"/>
        </w:rPr>
        <w:t xml:space="preserve"> oraz finansowaniu terroryzmu</w:t>
      </w:r>
      <w:r w:rsidRPr="00702DAD">
        <w:rPr>
          <w:rFonts w:ascii="Tahoma" w:hAnsi="Tahoma" w:cs="Tahoma"/>
          <w:sz w:val="20"/>
          <w:szCs w:val="20"/>
        </w:rPr>
        <w:t>.</w:t>
      </w:r>
    </w:p>
    <w:p w14:paraId="0B690A8F" w14:textId="77777777" w:rsidR="00702DAD" w:rsidRPr="00702DAD" w:rsidRDefault="00702DAD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3106F14E" w14:textId="2FC25CC9" w:rsidR="005965D4" w:rsidRPr="00702DAD" w:rsidRDefault="005965D4" w:rsidP="00702DAD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Transparentność</w:t>
      </w:r>
      <w:r w:rsidR="008F78A2" w:rsidRPr="00702DAD">
        <w:rPr>
          <w:rFonts w:ascii="Tahoma" w:hAnsi="Tahoma" w:cs="Tahoma"/>
          <w:b/>
          <w:bCs/>
          <w:sz w:val="20"/>
          <w:szCs w:val="20"/>
        </w:rPr>
        <w:t xml:space="preserve"> informacji </w:t>
      </w:r>
    </w:p>
    <w:p w14:paraId="020AD350" w14:textId="537D45FA" w:rsidR="00715D37" w:rsidRDefault="00715D37" w:rsidP="00702DAD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Partnerzy Biznesowi zobowiązani są do rzetelnego przekazywania Grupie UNIMOT informacji dotyczących prowadzonej działalności, sytuacji finansowej oraz wyników – zgodnie z</w:t>
      </w:r>
      <w:r w:rsidR="006554D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obowiązującymi przepisami prawa. Prowadzenie sprawozdawczości finansowej powinno odbywać się zgodnie z obowiązującymi standardami rachunkowości oraz wymogami prawnymi.</w:t>
      </w:r>
    </w:p>
    <w:p w14:paraId="005511FD" w14:textId="77777777" w:rsidR="00702DAD" w:rsidRPr="00702DAD" w:rsidRDefault="00702DAD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bookmarkEnd w:id="1"/>
    <w:p w14:paraId="633BD8A9" w14:textId="6A8D04BD" w:rsidR="00DA65FB" w:rsidRPr="00702DAD" w:rsidRDefault="00BA044A" w:rsidP="00702DAD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System zarządzania zgodnością (compliance)</w:t>
      </w:r>
    </w:p>
    <w:p w14:paraId="46A5061D" w14:textId="1E0DC601" w:rsidR="00BA044A" w:rsidRDefault="00BA044A" w:rsidP="00702DAD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Partnerzy Biznesowi powinni posiadać i stosować adekwatne wewnętrzne polityki i procedury zgodności (compliance), w tym w szczególności politykę antykorupcyjną, politykę ochrony danych osobowych, politykę przeciwdziałania praniu pieniędzy.</w:t>
      </w:r>
    </w:p>
    <w:p w14:paraId="02286793" w14:textId="77777777" w:rsidR="00702DAD" w:rsidRPr="00702DAD" w:rsidRDefault="00702DAD" w:rsidP="00DD6BD3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44BB7EDC" w14:textId="5E68C54D" w:rsidR="00DA65FB" w:rsidRDefault="00DA65FB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bookmarkStart w:id="3" w:name="_Hlk203039619"/>
      <w:r w:rsidRPr="00702DAD">
        <w:rPr>
          <w:rFonts w:ascii="Tahoma" w:hAnsi="Tahoma" w:cs="Tahoma"/>
          <w:b/>
          <w:bCs/>
          <w:sz w:val="20"/>
          <w:szCs w:val="20"/>
        </w:rPr>
        <w:t>BEZPIECZEŃSTWO I JAKOŚĆ PROD</w:t>
      </w:r>
      <w:r w:rsidR="001D29A7" w:rsidRPr="00702DAD">
        <w:rPr>
          <w:rFonts w:ascii="Tahoma" w:hAnsi="Tahoma" w:cs="Tahoma"/>
          <w:b/>
          <w:bCs/>
          <w:sz w:val="20"/>
          <w:szCs w:val="20"/>
        </w:rPr>
        <w:t>U</w:t>
      </w:r>
      <w:r w:rsidRPr="00702DAD">
        <w:rPr>
          <w:rFonts w:ascii="Tahoma" w:hAnsi="Tahoma" w:cs="Tahoma"/>
          <w:b/>
          <w:bCs/>
          <w:sz w:val="20"/>
          <w:szCs w:val="20"/>
        </w:rPr>
        <w:t>KTÓW I USŁUG</w:t>
      </w:r>
    </w:p>
    <w:p w14:paraId="487DBA84" w14:textId="77777777" w:rsidR="00702DAD" w:rsidRPr="00702DAD" w:rsidRDefault="00702DAD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6365CDC" w14:textId="7FF040E2" w:rsidR="00D74486" w:rsidRDefault="00D74486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Grupa UNIMOT </w:t>
      </w:r>
      <w:r w:rsidR="00715D37" w:rsidRPr="00702DAD">
        <w:rPr>
          <w:rFonts w:ascii="Tahoma" w:hAnsi="Tahoma" w:cs="Tahoma"/>
          <w:sz w:val="20"/>
          <w:szCs w:val="20"/>
        </w:rPr>
        <w:t xml:space="preserve">oczekuje od Partnerów </w:t>
      </w:r>
      <w:r w:rsidR="003D077E" w:rsidRPr="00702DAD">
        <w:rPr>
          <w:rFonts w:ascii="Tahoma" w:hAnsi="Tahoma" w:cs="Tahoma"/>
          <w:sz w:val="20"/>
          <w:szCs w:val="20"/>
        </w:rPr>
        <w:t xml:space="preserve">Biznesowych </w:t>
      </w:r>
      <w:r w:rsidR="00715D37" w:rsidRPr="00702DAD">
        <w:rPr>
          <w:rFonts w:ascii="Tahoma" w:hAnsi="Tahoma" w:cs="Tahoma"/>
          <w:sz w:val="20"/>
          <w:szCs w:val="20"/>
        </w:rPr>
        <w:t>przestrzegania obowiązujących przepisów prawa oraz norm branżowych w zakresie bezpieczeństwa i jakości produktów i usług. Partnerzy powinni realizować swoje działania zgodnie z poniższymi zobowiązaniami, zapewniając zgodność z regulacjami krajowymi i międzynarodowymi</w:t>
      </w:r>
      <w:r w:rsidR="00702DAD" w:rsidRPr="00702DAD">
        <w:rPr>
          <w:rFonts w:ascii="Tahoma" w:hAnsi="Tahoma" w:cs="Tahoma"/>
          <w:sz w:val="20"/>
          <w:szCs w:val="20"/>
        </w:rPr>
        <w:t>:</w:t>
      </w:r>
    </w:p>
    <w:p w14:paraId="2118C4E2" w14:textId="77777777" w:rsidR="005B1AB1" w:rsidRPr="00702DAD" w:rsidRDefault="005B1AB1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1A596ED7" w14:textId="297E1B59" w:rsidR="007078EF" w:rsidRDefault="00DA65FB" w:rsidP="00702DA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Partnerzy </w:t>
      </w:r>
      <w:r w:rsidR="003D077E" w:rsidRPr="00702DAD">
        <w:rPr>
          <w:rFonts w:ascii="Tahoma" w:hAnsi="Tahoma" w:cs="Tahoma"/>
          <w:sz w:val="20"/>
          <w:szCs w:val="20"/>
        </w:rPr>
        <w:t xml:space="preserve">Biznesowi </w:t>
      </w:r>
      <w:r w:rsidRPr="00702DAD">
        <w:rPr>
          <w:rFonts w:ascii="Tahoma" w:hAnsi="Tahoma" w:cs="Tahoma"/>
          <w:sz w:val="20"/>
          <w:szCs w:val="20"/>
        </w:rPr>
        <w:t xml:space="preserve">zaangażowani w </w:t>
      </w:r>
      <w:r w:rsidR="00783AE5" w:rsidRPr="00702DAD">
        <w:rPr>
          <w:rFonts w:ascii="Tahoma" w:hAnsi="Tahoma" w:cs="Tahoma"/>
          <w:sz w:val="20"/>
          <w:szCs w:val="20"/>
        </w:rPr>
        <w:t xml:space="preserve">produkcję, </w:t>
      </w:r>
      <w:r w:rsidRPr="00702DAD">
        <w:rPr>
          <w:rFonts w:ascii="Tahoma" w:hAnsi="Tahoma" w:cs="Tahoma"/>
          <w:sz w:val="20"/>
          <w:szCs w:val="20"/>
        </w:rPr>
        <w:t xml:space="preserve">dostarczanie, przechowywanie </w:t>
      </w:r>
      <w:r w:rsidR="00715D37" w:rsidRPr="00702DAD">
        <w:rPr>
          <w:rFonts w:ascii="Tahoma" w:hAnsi="Tahoma" w:cs="Tahoma"/>
          <w:sz w:val="20"/>
          <w:szCs w:val="20"/>
        </w:rPr>
        <w:t>lub</w:t>
      </w:r>
      <w:r w:rsidRPr="00702DAD">
        <w:rPr>
          <w:rFonts w:ascii="Tahoma" w:hAnsi="Tahoma" w:cs="Tahoma"/>
          <w:sz w:val="20"/>
          <w:szCs w:val="20"/>
        </w:rPr>
        <w:t xml:space="preserve"> dystrybucję produktów w imieniu</w:t>
      </w:r>
      <w:r w:rsidR="007078EF" w:rsidRPr="00702DAD">
        <w:rPr>
          <w:rFonts w:ascii="Tahoma" w:hAnsi="Tahoma" w:cs="Tahoma"/>
          <w:sz w:val="20"/>
          <w:szCs w:val="20"/>
        </w:rPr>
        <w:t xml:space="preserve"> lub</w:t>
      </w:r>
      <w:r w:rsidRPr="00702DAD">
        <w:rPr>
          <w:rFonts w:ascii="Tahoma" w:hAnsi="Tahoma" w:cs="Tahoma"/>
          <w:sz w:val="20"/>
          <w:szCs w:val="20"/>
        </w:rPr>
        <w:t xml:space="preserve"> na rzecz Grupy UNIMOT są zobowiązani do zapewniania</w:t>
      </w:r>
      <w:r w:rsidR="00715D37" w:rsidRPr="00702DAD">
        <w:rPr>
          <w:rFonts w:ascii="Tahoma" w:hAnsi="Tahoma" w:cs="Tahoma"/>
          <w:sz w:val="20"/>
          <w:szCs w:val="20"/>
        </w:rPr>
        <w:t>, że produkty te spełniają wszystkie obowiązujące normy i wymagania w</w:t>
      </w:r>
      <w:r w:rsidR="006554D9">
        <w:rPr>
          <w:rFonts w:ascii="Tahoma" w:hAnsi="Tahoma" w:cs="Tahoma"/>
          <w:sz w:val="20"/>
          <w:szCs w:val="20"/>
        </w:rPr>
        <w:t> </w:t>
      </w:r>
      <w:r w:rsidR="00715D37" w:rsidRPr="00702DAD">
        <w:rPr>
          <w:rFonts w:ascii="Tahoma" w:hAnsi="Tahoma" w:cs="Tahoma"/>
          <w:sz w:val="20"/>
          <w:szCs w:val="20"/>
        </w:rPr>
        <w:t xml:space="preserve">zakresie jakości oraz bezpieczeństwa. </w:t>
      </w:r>
    </w:p>
    <w:p w14:paraId="604378CE" w14:textId="77777777" w:rsidR="006554D9" w:rsidRPr="00702DAD" w:rsidRDefault="006554D9" w:rsidP="006554D9">
      <w:pPr>
        <w:pStyle w:val="Akapitzlist"/>
        <w:spacing w:after="0" w:line="276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14:paraId="1A9B8C10" w14:textId="3EDB128D" w:rsidR="007078EF" w:rsidRDefault="00DA65FB" w:rsidP="00702DA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Partnerzy </w:t>
      </w:r>
      <w:r w:rsidR="003D077E" w:rsidRPr="00702DAD">
        <w:rPr>
          <w:rFonts w:ascii="Tahoma" w:hAnsi="Tahoma" w:cs="Tahoma"/>
          <w:sz w:val="20"/>
          <w:szCs w:val="20"/>
        </w:rPr>
        <w:t xml:space="preserve">Biznesowi </w:t>
      </w:r>
      <w:r w:rsidRPr="00702DAD">
        <w:rPr>
          <w:rFonts w:ascii="Tahoma" w:hAnsi="Tahoma" w:cs="Tahoma"/>
          <w:sz w:val="20"/>
          <w:szCs w:val="20"/>
        </w:rPr>
        <w:t xml:space="preserve">są zobowiązani do </w:t>
      </w:r>
      <w:r w:rsidR="00715D37" w:rsidRPr="00702DAD">
        <w:rPr>
          <w:rFonts w:ascii="Tahoma" w:hAnsi="Tahoma" w:cs="Tahoma"/>
          <w:sz w:val="20"/>
          <w:szCs w:val="20"/>
        </w:rPr>
        <w:t>ścisłego przestrzegania</w:t>
      </w:r>
      <w:r w:rsidRPr="00702DAD">
        <w:rPr>
          <w:rFonts w:ascii="Tahoma" w:hAnsi="Tahoma" w:cs="Tahoma"/>
          <w:sz w:val="20"/>
          <w:szCs w:val="20"/>
        </w:rPr>
        <w:t xml:space="preserve"> wymagań jakościowych </w:t>
      </w:r>
      <w:r w:rsidR="00715D37" w:rsidRPr="00702DAD">
        <w:rPr>
          <w:rFonts w:ascii="Tahoma" w:hAnsi="Tahoma" w:cs="Tahoma"/>
          <w:sz w:val="20"/>
          <w:szCs w:val="20"/>
        </w:rPr>
        <w:t>dotyczących usług i produktów określonych przez Grupę UNIMOT w zawartych umowach, specyfikacjach technicznych oraz innych wiążących dokumentach.</w:t>
      </w:r>
    </w:p>
    <w:p w14:paraId="3508C348" w14:textId="77777777" w:rsidR="00DD6BD3" w:rsidRPr="00702DAD" w:rsidRDefault="00DD6BD3" w:rsidP="00DD6BD3">
      <w:pPr>
        <w:pStyle w:val="Akapitzlist"/>
        <w:spacing w:after="0" w:line="276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14:paraId="04175DF5" w14:textId="192BE6A6" w:rsidR="00702DAD" w:rsidRDefault="00E95DDE" w:rsidP="00702DAD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Dokumentacja i dane wykorzystywane w toku realizacji działań muszą być oryginalne, rzetelne i czytelne. Powinny być objęte odpowiednimi procedurami kontroli, łatwo dostępne dla uprawnionych osób oraz skutecznie zabezpieczone przed przypadkowymi lub celowymi zmianami, zniszczeniem lub utratą.</w:t>
      </w:r>
    </w:p>
    <w:p w14:paraId="3C8E99BF" w14:textId="77777777" w:rsidR="004E1F79" w:rsidRDefault="004E1F79" w:rsidP="00DD6BD3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bookmarkEnd w:id="3"/>
    <w:p w14:paraId="573004FE" w14:textId="2E381807" w:rsidR="00783AE5" w:rsidRDefault="00783AE5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 w:rsidDel="00AD2D85">
        <w:rPr>
          <w:rFonts w:ascii="Tahoma" w:hAnsi="Tahoma" w:cs="Tahoma"/>
          <w:b/>
          <w:bCs/>
          <w:sz w:val="20"/>
          <w:szCs w:val="20"/>
        </w:rPr>
        <w:lastRenderedPageBreak/>
        <w:t xml:space="preserve">PRAWA </w:t>
      </w:r>
      <w:r w:rsidR="00E34B7F" w:rsidRPr="00702DAD">
        <w:rPr>
          <w:rFonts w:ascii="Tahoma" w:hAnsi="Tahoma" w:cs="Tahoma"/>
          <w:b/>
          <w:bCs/>
          <w:sz w:val="20"/>
          <w:szCs w:val="20"/>
        </w:rPr>
        <w:t>CZŁOWIEKA, W TYM PRAWA PRACOWNICZE</w:t>
      </w:r>
      <w:r w:rsidR="00C01C57" w:rsidRPr="00702DAD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A11A4FF" w14:textId="77777777" w:rsidR="00702DAD" w:rsidRDefault="00702DAD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48B7230" w14:textId="18CD2145" w:rsidR="009B0ECC" w:rsidRDefault="009B0ECC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bookmarkStart w:id="4" w:name="_Hlk205220003"/>
      <w:bookmarkStart w:id="5" w:name="_Hlk203040343"/>
      <w:r w:rsidRPr="00702DAD" w:rsidDel="00AD2D85">
        <w:rPr>
          <w:rFonts w:ascii="Tahoma" w:hAnsi="Tahoma" w:cs="Tahoma"/>
          <w:sz w:val="20"/>
          <w:szCs w:val="20"/>
        </w:rPr>
        <w:t xml:space="preserve">Grupa UNIMOT oczekuje od Partnerów Biznesowych </w:t>
      </w:r>
      <w:bookmarkEnd w:id="4"/>
      <w:r w:rsidR="005D0334" w:rsidRPr="00702DAD">
        <w:rPr>
          <w:rFonts w:ascii="Tahoma" w:hAnsi="Tahoma" w:cs="Tahoma"/>
          <w:sz w:val="20"/>
          <w:szCs w:val="20"/>
        </w:rPr>
        <w:t>pełnego poszanowania praw człowieka i praw pracowniczych, w szczególności poprzez stosowanie się do następujących zasad i zobowiązań:</w:t>
      </w:r>
    </w:p>
    <w:p w14:paraId="140621DB" w14:textId="77777777" w:rsidR="00702DAD" w:rsidRPr="00702DAD" w:rsidDel="00AD2D85" w:rsidRDefault="00702DAD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5DBE3F10" w14:textId="23575498" w:rsidR="001677A1" w:rsidRPr="00702DAD" w:rsidRDefault="00CA0A86" w:rsidP="00702DAD">
      <w:pPr>
        <w:pStyle w:val="Akapitzlist"/>
        <w:numPr>
          <w:ilvl w:val="0"/>
          <w:numId w:val="7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 w:rsidDel="00AD2D85">
        <w:rPr>
          <w:rFonts w:ascii="Tahoma" w:hAnsi="Tahoma" w:cs="Tahoma"/>
          <w:b/>
          <w:bCs/>
          <w:sz w:val="20"/>
          <w:szCs w:val="20"/>
        </w:rPr>
        <w:t>Praca przymusowa</w:t>
      </w:r>
      <w:r w:rsidR="00AF2302" w:rsidRPr="00702DAD" w:rsidDel="00AD2D85">
        <w:rPr>
          <w:rFonts w:ascii="Tahoma" w:hAnsi="Tahoma" w:cs="Tahoma"/>
          <w:b/>
          <w:bCs/>
          <w:sz w:val="20"/>
          <w:szCs w:val="20"/>
        </w:rPr>
        <w:t xml:space="preserve"> i praca dzieci</w:t>
      </w:r>
    </w:p>
    <w:p w14:paraId="5AD1417E" w14:textId="56C13352" w:rsidR="001677A1" w:rsidRPr="00702DAD" w:rsidRDefault="006422B9" w:rsidP="00702DAD">
      <w:pPr>
        <w:pStyle w:val="Akapitzlist"/>
        <w:numPr>
          <w:ilvl w:val="0"/>
          <w:numId w:val="29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702DAD" w:rsidDel="00AD2D85">
        <w:rPr>
          <w:rFonts w:ascii="Tahoma" w:hAnsi="Tahoma" w:cs="Tahoma"/>
          <w:sz w:val="20"/>
          <w:szCs w:val="20"/>
        </w:rPr>
        <w:t>Grupa UNIMOT oczekuje od Partnerów Biznesowych</w:t>
      </w:r>
      <w:r w:rsidRPr="00702DAD">
        <w:rPr>
          <w:rFonts w:ascii="Tahoma" w:hAnsi="Tahoma" w:cs="Tahoma"/>
          <w:sz w:val="20"/>
          <w:szCs w:val="20"/>
        </w:rPr>
        <w:t>, ż</w:t>
      </w:r>
      <w:r w:rsidR="009F61C5" w:rsidRPr="00702DAD">
        <w:rPr>
          <w:rFonts w:ascii="Tahoma" w:hAnsi="Tahoma" w:cs="Tahoma"/>
          <w:sz w:val="20"/>
          <w:szCs w:val="20"/>
        </w:rPr>
        <w:t>e</w:t>
      </w:r>
      <w:r w:rsidRPr="00702DAD">
        <w:rPr>
          <w:rFonts w:ascii="Tahoma" w:hAnsi="Tahoma" w:cs="Tahoma"/>
          <w:sz w:val="20"/>
          <w:szCs w:val="20"/>
        </w:rPr>
        <w:t xml:space="preserve"> </w:t>
      </w:r>
      <w:r w:rsidR="00084A37" w:rsidRPr="00702DAD">
        <w:rPr>
          <w:rFonts w:ascii="Tahoma" w:hAnsi="Tahoma" w:cs="Tahoma"/>
          <w:sz w:val="20"/>
          <w:szCs w:val="20"/>
        </w:rPr>
        <w:t>nie stosują żadnych form pracy przymusowej, niewolniczej ani handlu ludźmi. Praca wykonywana jest dobrowolnie, a każdy pracownik ma prawo do rozwiązania stosunku pracy z zachowaniem określonych w umowie zasad wypowiedzenia</w:t>
      </w:r>
      <w:r w:rsidR="00253175">
        <w:rPr>
          <w:rFonts w:ascii="Tahoma" w:hAnsi="Tahoma" w:cs="Tahoma"/>
          <w:sz w:val="20"/>
          <w:szCs w:val="20"/>
        </w:rPr>
        <w:t>.</w:t>
      </w:r>
    </w:p>
    <w:p w14:paraId="6C5DD43F" w14:textId="77777777" w:rsidR="00702DAD" w:rsidRDefault="00084A37" w:rsidP="00702DAD">
      <w:pPr>
        <w:pStyle w:val="Akapitzlist"/>
        <w:numPr>
          <w:ilvl w:val="0"/>
          <w:numId w:val="29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Praca w godzinach nadliczbowych jest dopuszczalna wyłącznie w zakresie określonym przepisami prawa. </w:t>
      </w:r>
    </w:p>
    <w:p w14:paraId="6653D0DC" w14:textId="1E6C88B8" w:rsidR="00084A37" w:rsidRPr="00702DAD" w:rsidRDefault="002C4FEA" w:rsidP="00702DAD">
      <w:pPr>
        <w:pStyle w:val="Akapitzlist"/>
        <w:numPr>
          <w:ilvl w:val="0"/>
          <w:numId w:val="29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Praca</w:t>
      </w:r>
      <w:r w:rsidR="001677A1" w:rsidRPr="00702DAD">
        <w:rPr>
          <w:rFonts w:ascii="Tahoma" w:hAnsi="Tahoma" w:cs="Tahoma"/>
          <w:sz w:val="20"/>
          <w:szCs w:val="20"/>
        </w:rPr>
        <w:t xml:space="preserve"> dzieci </w:t>
      </w:r>
      <w:r w:rsidRPr="00702DAD">
        <w:rPr>
          <w:rFonts w:ascii="Tahoma" w:hAnsi="Tahoma" w:cs="Tahoma"/>
          <w:sz w:val="20"/>
          <w:szCs w:val="20"/>
        </w:rPr>
        <w:t>jest</w:t>
      </w:r>
      <w:r w:rsidR="001677A1" w:rsidRPr="00702DAD">
        <w:rPr>
          <w:rFonts w:ascii="Tahoma" w:hAnsi="Tahoma" w:cs="Tahoma"/>
          <w:sz w:val="20"/>
          <w:szCs w:val="20"/>
        </w:rPr>
        <w:t xml:space="preserve"> niedopuszczaln</w:t>
      </w:r>
      <w:r w:rsidRPr="00702DAD">
        <w:rPr>
          <w:rFonts w:ascii="Tahoma" w:hAnsi="Tahoma" w:cs="Tahoma"/>
          <w:sz w:val="20"/>
          <w:szCs w:val="20"/>
        </w:rPr>
        <w:t>a</w:t>
      </w:r>
      <w:r w:rsidR="00FE0E37" w:rsidRPr="00702DAD">
        <w:rPr>
          <w:rFonts w:ascii="Tahoma" w:hAnsi="Tahoma" w:cs="Tahoma"/>
          <w:sz w:val="20"/>
          <w:szCs w:val="20"/>
        </w:rPr>
        <w:t>.</w:t>
      </w:r>
      <w:r w:rsidR="001677A1" w:rsidRPr="00702DAD">
        <w:rPr>
          <w:rFonts w:ascii="Tahoma" w:hAnsi="Tahoma" w:cs="Tahoma"/>
          <w:sz w:val="20"/>
          <w:szCs w:val="20"/>
        </w:rPr>
        <w:t xml:space="preserve"> </w:t>
      </w:r>
      <w:r w:rsidRPr="00702DAD">
        <w:rPr>
          <w:rFonts w:ascii="Tahoma" w:hAnsi="Tahoma" w:cs="Tahoma"/>
          <w:sz w:val="20"/>
          <w:szCs w:val="20"/>
        </w:rPr>
        <w:t>Zatrudnianie młodocianych odbywa się jedynie w</w:t>
      </w:r>
      <w:r w:rsidR="00253175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sytuacjach szczególnych, uzasadnionych ich interesem, np. w przypadkach przyuczenia zawodowego lub przy pracach lekkich i przy zachowaniu wszelkich przepisów prawa pracy mających zastosowanie w takich przypadkach.</w:t>
      </w:r>
    </w:p>
    <w:p w14:paraId="7AA0B272" w14:textId="77777777" w:rsidR="00DA38F1" w:rsidRPr="00702DAD" w:rsidDel="00AD2D85" w:rsidRDefault="00DA38F1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5FDF28BC" w14:textId="6B31263F" w:rsidR="004C2B5E" w:rsidRPr="00702DAD" w:rsidDel="00AD2D85" w:rsidRDefault="00CA0A86" w:rsidP="00702DAD">
      <w:pPr>
        <w:pStyle w:val="Akapitzlist"/>
        <w:numPr>
          <w:ilvl w:val="0"/>
          <w:numId w:val="7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 w:rsidDel="00AD2D85">
        <w:rPr>
          <w:rFonts w:ascii="Tahoma" w:hAnsi="Tahoma" w:cs="Tahoma"/>
          <w:b/>
          <w:bCs/>
          <w:sz w:val="20"/>
          <w:szCs w:val="20"/>
        </w:rPr>
        <w:t xml:space="preserve">Wolność zrzeszania się i wnoszenia skarg </w:t>
      </w:r>
    </w:p>
    <w:p w14:paraId="42E2296E" w14:textId="6127F934" w:rsidR="00817352" w:rsidRPr="00702DAD" w:rsidRDefault="00817352" w:rsidP="00702DAD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Partnerzy Biznesowi zapewniają pracownikom prawo do swobodnego tworzenia i</w:t>
      </w:r>
      <w:r w:rsidR="00253175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przystępowania do związków zawodowych, organizacji pracowniczych oraz udziału w</w:t>
      </w:r>
      <w:r w:rsidR="00253175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negocjacjach zbiorowych, zgodnie z obowiązującymi przepisami prawa. Korzystanie z tych praw nie może skutkować żadną formą represji, dyskryminacji ani nękania.</w:t>
      </w:r>
    </w:p>
    <w:p w14:paraId="795C2DE9" w14:textId="77777777" w:rsidR="00817352" w:rsidRPr="00702DAD" w:rsidRDefault="00817352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542AD500" w14:textId="173C5A77" w:rsidR="00817352" w:rsidRPr="00702DAD" w:rsidRDefault="00264744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bookmarkStart w:id="6" w:name="_Hlk205220686"/>
      <w:r w:rsidRPr="00702DAD">
        <w:rPr>
          <w:rFonts w:ascii="Tahoma" w:hAnsi="Tahoma" w:cs="Tahoma"/>
          <w:sz w:val="20"/>
          <w:szCs w:val="20"/>
        </w:rPr>
        <w:t>Grupa UNIMOT oczekuje od Partnerów Biznesowych</w:t>
      </w:r>
      <w:bookmarkEnd w:id="6"/>
      <w:r w:rsidR="00FE0E37" w:rsidRPr="00702DAD">
        <w:rPr>
          <w:rFonts w:ascii="Tahoma" w:hAnsi="Tahoma" w:cs="Tahoma"/>
          <w:sz w:val="20"/>
          <w:szCs w:val="20"/>
        </w:rPr>
        <w:t xml:space="preserve"> posiadania</w:t>
      </w:r>
      <w:r w:rsidR="00817352" w:rsidRPr="00702DAD">
        <w:rPr>
          <w:rFonts w:ascii="Tahoma" w:hAnsi="Tahoma" w:cs="Tahoma"/>
          <w:sz w:val="20"/>
          <w:szCs w:val="20"/>
        </w:rPr>
        <w:t xml:space="preserve"> skuteczn</w:t>
      </w:r>
      <w:r w:rsidR="00FE0E37" w:rsidRPr="00702DAD">
        <w:rPr>
          <w:rFonts w:ascii="Tahoma" w:hAnsi="Tahoma" w:cs="Tahoma"/>
          <w:sz w:val="20"/>
          <w:szCs w:val="20"/>
        </w:rPr>
        <w:t>ych</w:t>
      </w:r>
      <w:r w:rsidR="00817352" w:rsidRPr="00702DAD">
        <w:rPr>
          <w:rFonts w:ascii="Tahoma" w:hAnsi="Tahoma" w:cs="Tahoma"/>
          <w:sz w:val="20"/>
          <w:szCs w:val="20"/>
        </w:rPr>
        <w:t>, znan</w:t>
      </w:r>
      <w:r w:rsidR="00FE0E37" w:rsidRPr="00702DAD">
        <w:rPr>
          <w:rFonts w:ascii="Tahoma" w:hAnsi="Tahoma" w:cs="Tahoma"/>
          <w:sz w:val="20"/>
          <w:szCs w:val="20"/>
        </w:rPr>
        <w:t>ych</w:t>
      </w:r>
      <w:r w:rsidR="00817352" w:rsidRPr="00702DAD">
        <w:rPr>
          <w:rFonts w:ascii="Tahoma" w:hAnsi="Tahoma" w:cs="Tahoma"/>
          <w:sz w:val="20"/>
          <w:szCs w:val="20"/>
        </w:rPr>
        <w:t xml:space="preserve"> pracownikom mechanizmów składania skarg, wątpliwości lub zażaleń. Mechanizmy te muszą gwarantować anonimowość, bezstronność oraz brak działań odwetowych wobec zgłaszających.</w:t>
      </w:r>
    </w:p>
    <w:p w14:paraId="795F5770" w14:textId="3E4A7475" w:rsidR="009B49F2" w:rsidRPr="00702DAD" w:rsidDel="00AD2D85" w:rsidRDefault="009B49F2" w:rsidP="00702DAD">
      <w:pPr>
        <w:pStyle w:val="Akapitzlist"/>
        <w:spacing w:after="0" w:line="276" w:lineRule="auto"/>
        <w:rPr>
          <w:rFonts w:ascii="Tahoma" w:hAnsi="Tahoma" w:cs="Tahoma"/>
          <w:sz w:val="20"/>
          <w:szCs w:val="20"/>
        </w:rPr>
      </w:pPr>
    </w:p>
    <w:p w14:paraId="63DA5E58" w14:textId="3D485BBF" w:rsidR="00546CE3" w:rsidRPr="00702DAD" w:rsidRDefault="009B49F2" w:rsidP="00702DAD">
      <w:pPr>
        <w:pStyle w:val="Akapitzlist"/>
        <w:numPr>
          <w:ilvl w:val="0"/>
          <w:numId w:val="7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bookmarkStart w:id="7" w:name="_Hlk205220665"/>
      <w:r w:rsidRPr="00702DAD" w:rsidDel="00AD2D85">
        <w:rPr>
          <w:rFonts w:ascii="Tahoma" w:hAnsi="Tahoma" w:cs="Tahoma"/>
          <w:b/>
          <w:bCs/>
          <w:sz w:val="20"/>
          <w:szCs w:val="20"/>
        </w:rPr>
        <w:t>Godziny pracy i czas wolny od pracy</w:t>
      </w:r>
      <w:bookmarkEnd w:id="7"/>
    </w:p>
    <w:p w14:paraId="2EC1E21D" w14:textId="080E93D4" w:rsidR="00546CE3" w:rsidRPr="00702DAD" w:rsidRDefault="00264744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bookmarkStart w:id="8" w:name="_Hlk205221580"/>
      <w:r w:rsidRPr="00702DAD">
        <w:rPr>
          <w:rFonts w:ascii="Tahoma" w:hAnsi="Tahoma" w:cs="Tahoma"/>
          <w:sz w:val="20"/>
          <w:szCs w:val="20"/>
        </w:rPr>
        <w:t>Grupa UNIMOT oczekuje od Partnerów Biznesowych</w:t>
      </w:r>
      <w:bookmarkEnd w:id="8"/>
      <w:r w:rsidR="00FE0E37" w:rsidRPr="00702DAD">
        <w:rPr>
          <w:rFonts w:ascii="Tahoma" w:hAnsi="Tahoma" w:cs="Tahoma"/>
          <w:sz w:val="20"/>
          <w:szCs w:val="20"/>
        </w:rPr>
        <w:t xml:space="preserve"> zapewnienia </w:t>
      </w:r>
      <w:r w:rsidR="00546CE3" w:rsidRPr="00702DAD">
        <w:rPr>
          <w:rFonts w:ascii="Tahoma" w:hAnsi="Tahoma" w:cs="Tahoma"/>
          <w:sz w:val="20"/>
          <w:szCs w:val="20"/>
        </w:rPr>
        <w:t>pracownikom godn</w:t>
      </w:r>
      <w:r w:rsidR="00FE0E37" w:rsidRPr="00702DAD">
        <w:rPr>
          <w:rFonts w:ascii="Tahoma" w:hAnsi="Tahoma" w:cs="Tahoma"/>
          <w:sz w:val="20"/>
          <w:szCs w:val="20"/>
        </w:rPr>
        <w:t>ych</w:t>
      </w:r>
      <w:r w:rsidR="00546CE3" w:rsidRPr="00702DAD">
        <w:rPr>
          <w:rFonts w:ascii="Tahoma" w:hAnsi="Tahoma" w:cs="Tahoma"/>
          <w:sz w:val="20"/>
          <w:szCs w:val="20"/>
        </w:rPr>
        <w:t xml:space="preserve"> i</w:t>
      </w:r>
      <w:r w:rsidR="00253175">
        <w:rPr>
          <w:rFonts w:ascii="Tahoma" w:hAnsi="Tahoma" w:cs="Tahoma"/>
          <w:sz w:val="20"/>
          <w:szCs w:val="20"/>
        </w:rPr>
        <w:t> </w:t>
      </w:r>
      <w:r w:rsidR="00546CE3" w:rsidRPr="00702DAD">
        <w:rPr>
          <w:rFonts w:ascii="Tahoma" w:hAnsi="Tahoma" w:cs="Tahoma"/>
          <w:sz w:val="20"/>
          <w:szCs w:val="20"/>
        </w:rPr>
        <w:t>bezpieczn</w:t>
      </w:r>
      <w:r w:rsidR="00FE0E37" w:rsidRPr="00702DAD">
        <w:rPr>
          <w:rFonts w:ascii="Tahoma" w:hAnsi="Tahoma" w:cs="Tahoma"/>
          <w:sz w:val="20"/>
          <w:szCs w:val="20"/>
        </w:rPr>
        <w:t>ych</w:t>
      </w:r>
      <w:r w:rsidR="00546CE3" w:rsidRPr="00702DAD">
        <w:rPr>
          <w:rFonts w:ascii="Tahoma" w:hAnsi="Tahoma" w:cs="Tahoma"/>
          <w:sz w:val="20"/>
          <w:szCs w:val="20"/>
        </w:rPr>
        <w:t xml:space="preserve"> warunków pracy, zgodnie z obowiązującym prawem krajowym oraz uznanymi międzynarodowymi standardami pracy.</w:t>
      </w:r>
    </w:p>
    <w:p w14:paraId="3361E70A" w14:textId="77777777" w:rsidR="00546CE3" w:rsidRPr="00702DAD" w:rsidRDefault="00546CE3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4E409E74" w14:textId="2B292615" w:rsidR="00546CE3" w:rsidRPr="00702DAD" w:rsidRDefault="00702DAD" w:rsidP="00702DAD">
      <w:pPr>
        <w:pStyle w:val="Akapitzlist"/>
        <w:numPr>
          <w:ilvl w:val="0"/>
          <w:numId w:val="30"/>
        </w:numPr>
        <w:spacing w:after="0" w:line="276" w:lineRule="auto"/>
        <w:ind w:left="1097"/>
        <w:jc w:val="both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Ewidencja</w:t>
      </w:r>
      <w:r w:rsidR="00546CE3" w:rsidRPr="00702DAD">
        <w:rPr>
          <w:rFonts w:ascii="Tahoma" w:hAnsi="Tahoma" w:cs="Tahoma"/>
          <w:b/>
          <w:bCs/>
          <w:sz w:val="20"/>
          <w:szCs w:val="20"/>
        </w:rPr>
        <w:t xml:space="preserve"> czasu pracy</w:t>
      </w:r>
    </w:p>
    <w:p w14:paraId="5A3983F0" w14:textId="3225A6B0" w:rsidR="00546CE3" w:rsidRPr="00702DAD" w:rsidRDefault="00546CE3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Partner </w:t>
      </w:r>
      <w:r w:rsidR="006422B9" w:rsidRPr="00702DAD">
        <w:rPr>
          <w:rFonts w:ascii="Tahoma" w:hAnsi="Tahoma" w:cs="Tahoma"/>
          <w:sz w:val="20"/>
          <w:szCs w:val="20"/>
        </w:rPr>
        <w:t xml:space="preserve">Biznesowy </w:t>
      </w:r>
      <w:r w:rsidRPr="00702DAD">
        <w:rPr>
          <w:rFonts w:ascii="Tahoma" w:hAnsi="Tahoma" w:cs="Tahoma"/>
          <w:sz w:val="20"/>
          <w:szCs w:val="20"/>
        </w:rPr>
        <w:t>zapewnia rzetelne i przejrzyste prowadzenie systemu ewidencji czasu pracy, w tym czasu przepracowanego w godzinach nadliczbowych</w:t>
      </w:r>
      <w:r w:rsidR="00E85C2A" w:rsidRPr="00702DAD">
        <w:rPr>
          <w:rFonts w:ascii="Tahoma" w:hAnsi="Tahoma" w:cs="Tahoma"/>
          <w:sz w:val="20"/>
          <w:szCs w:val="20"/>
        </w:rPr>
        <w:t>.</w:t>
      </w:r>
    </w:p>
    <w:p w14:paraId="55B407B4" w14:textId="77777777" w:rsidR="00546CE3" w:rsidRPr="00702DAD" w:rsidRDefault="00546CE3" w:rsidP="00702DAD">
      <w:pPr>
        <w:pStyle w:val="Akapitzlist"/>
        <w:spacing w:after="0" w:line="276" w:lineRule="auto"/>
        <w:rPr>
          <w:rFonts w:ascii="Tahoma" w:hAnsi="Tahoma" w:cs="Tahoma"/>
          <w:sz w:val="20"/>
          <w:szCs w:val="20"/>
        </w:rPr>
      </w:pPr>
    </w:p>
    <w:p w14:paraId="04441EEB" w14:textId="6903E6A4" w:rsidR="00546CE3" w:rsidRPr="00702DAD" w:rsidRDefault="00546CE3" w:rsidP="00702DAD">
      <w:pPr>
        <w:pStyle w:val="Akapitzlist"/>
        <w:numPr>
          <w:ilvl w:val="0"/>
          <w:numId w:val="30"/>
        </w:numPr>
        <w:spacing w:after="0" w:line="276" w:lineRule="auto"/>
        <w:ind w:left="1097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Tygodniowy wymiar czasu pracy</w:t>
      </w:r>
    </w:p>
    <w:p w14:paraId="4462CCF3" w14:textId="2FA64883" w:rsidR="00546CE3" w:rsidRPr="00702DAD" w:rsidRDefault="00546CE3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Standardowy wymiar czasu pracy</w:t>
      </w:r>
      <w:r w:rsidR="002E1BF0" w:rsidRPr="00702DAD">
        <w:rPr>
          <w:rFonts w:ascii="Tahoma" w:hAnsi="Tahoma" w:cs="Tahoma"/>
          <w:sz w:val="20"/>
          <w:szCs w:val="20"/>
        </w:rPr>
        <w:t xml:space="preserve"> oraz praca w godzinach nadliczbowych</w:t>
      </w:r>
      <w:r w:rsidR="00DA38F1" w:rsidRPr="00702DAD">
        <w:rPr>
          <w:rFonts w:ascii="Tahoma" w:hAnsi="Tahoma" w:cs="Tahoma"/>
          <w:sz w:val="20"/>
          <w:szCs w:val="20"/>
        </w:rPr>
        <w:t xml:space="preserve"> jest zgodn</w:t>
      </w:r>
      <w:r w:rsidR="002E1BF0" w:rsidRPr="00702DAD">
        <w:rPr>
          <w:rFonts w:ascii="Tahoma" w:hAnsi="Tahoma" w:cs="Tahoma"/>
          <w:sz w:val="20"/>
          <w:szCs w:val="20"/>
        </w:rPr>
        <w:t>a</w:t>
      </w:r>
      <w:r w:rsidR="00DA38F1" w:rsidRPr="00702DAD">
        <w:rPr>
          <w:rFonts w:ascii="Tahoma" w:hAnsi="Tahoma" w:cs="Tahoma"/>
          <w:sz w:val="20"/>
          <w:szCs w:val="20"/>
        </w:rPr>
        <w:t xml:space="preserve"> z</w:t>
      </w:r>
      <w:r w:rsidR="00253175">
        <w:rPr>
          <w:rFonts w:ascii="Tahoma" w:hAnsi="Tahoma" w:cs="Tahoma"/>
          <w:sz w:val="20"/>
          <w:szCs w:val="20"/>
        </w:rPr>
        <w:t> </w:t>
      </w:r>
      <w:r w:rsidR="00DA38F1" w:rsidRPr="00702DAD">
        <w:rPr>
          <w:rFonts w:ascii="Tahoma" w:hAnsi="Tahoma" w:cs="Tahoma"/>
          <w:sz w:val="20"/>
          <w:szCs w:val="20"/>
        </w:rPr>
        <w:t xml:space="preserve">obowiązującymi przepisami krajowymi. </w:t>
      </w:r>
      <w:r w:rsidRPr="00702DAD">
        <w:rPr>
          <w:rFonts w:ascii="Tahoma" w:hAnsi="Tahoma" w:cs="Tahoma"/>
          <w:sz w:val="20"/>
          <w:szCs w:val="20"/>
        </w:rPr>
        <w:t xml:space="preserve">Wszystkie nadgodziny są </w:t>
      </w:r>
      <w:r w:rsidR="002C4FEA" w:rsidRPr="00702DAD">
        <w:rPr>
          <w:rFonts w:ascii="Tahoma" w:hAnsi="Tahoma" w:cs="Tahoma"/>
          <w:sz w:val="20"/>
          <w:szCs w:val="20"/>
        </w:rPr>
        <w:t>wynagradzane zgodnie z</w:t>
      </w:r>
      <w:r w:rsidR="00253175">
        <w:rPr>
          <w:rFonts w:ascii="Tahoma" w:hAnsi="Tahoma" w:cs="Tahoma"/>
          <w:sz w:val="20"/>
          <w:szCs w:val="20"/>
        </w:rPr>
        <w:t> </w:t>
      </w:r>
      <w:r w:rsidR="002C4FEA" w:rsidRPr="00702DAD">
        <w:rPr>
          <w:rFonts w:ascii="Tahoma" w:hAnsi="Tahoma" w:cs="Tahoma"/>
          <w:sz w:val="20"/>
          <w:szCs w:val="20"/>
        </w:rPr>
        <w:t>obowiązującymi przepisami.</w:t>
      </w:r>
      <w:r w:rsidR="002C4FEA" w:rsidRPr="00702DAD" w:rsidDel="002C4FEA">
        <w:rPr>
          <w:rFonts w:ascii="Tahoma" w:hAnsi="Tahoma" w:cs="Tahoma"/>
          <w:sz w:val="20"/>
          <w:szCs w:val="20"/>
        </w:rPr>
        <w:t xml:space="preserve"> </w:t>
      </w:r>
    </w:p>
    <w:p w14:paraId="1D5D6D3B" w14:textId="77777777" w:rsidR="00546CE3" w:rsidRDefault="00546CE3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243439F1" w14:textId="2BB96D6D" w:rsidR="00546CE3" w:rsidRPr="00702DAD" w:rsidRDefault="00546CE3" w:rsidP="00702DAD">
      <w:pPr>
        <w:pStyle w:val="Akapitzlist"/>
        <w:numPr>
          <w:ilvl w:val="0"/>
          <w:numId w:val="30"/>
        </w:numPr>
        <w:spacing w:after="0" w:line="276" w:lineRule="auto"/>
        <w:ind w:left="1097"/>
        <w:jc w:val="both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Prawo do odpoczynku i urlopu</w:t>
      </w:r>
    </w:p>
    <w:p w14:paraId="029F8D4C" w14:textId="18535DFE" w:rsidR="00546CE3" w:rsidRPr="00702DAD" w:rsidRDefault="00546CE3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Pracownikom przysługuje prawo do regularnych przerw w pracy, odpoczynku dobowego i</w:t>
      </w:r>
      <w:r w:rsidR="00253175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tygodniowego oraz urlopu wypoczynkowego zgodnie z obowiązującym prawem. Dodatkowo, Partner</w:t>
      </w:r>
      <w:r w:rsidR="000E61A8">
        <w:rPr>
          <w:rFonts w:ascii="Tahoma" w:hAnsi="Tahoma" w:cs="Tahoma"/>
          <w:sz w:val="20"/>
          <w:szCs w:val="20"/>
        </w:rPr>
        <w:t xml:space="preserve"> Biznesowy</w:t>
      </w:r>
      <w:r w:rsidRPr="00702DAD">
        <w:rPr>
          <w:rFonts w:ascii="Tahoma" w:hAnsi="Tahoma" w:cs="Tahoma"/>
          <w:sz w:val="20"/>
          <w:szCs w:val="20"/>
        </w:rPr>
        <w:t xml:space="preserve"> umożliwia pracownikom skorzystanie z urlopu okolicznościowego w</w:t>
      </w:r>
      <w:r w:rsidR="00253175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przypadku istotnych zdarzeń osobistych</w:t>
      </w:r>
      <w:r w:rsidR="00E85C2A" w:rsidRPr="00702DAD">
        <w:rPr>
          <w:rFonts w:ascii="Tahoma" w:hAnsi="Tahoma" w:cs="Tahoma"/>
          <w:sz w:val="20"/>
          <w:szCs w:val="20"/>
        </w:rPr>
        <w:t>.</w:t>
      </w:r>
    </w:p>
    <w:p w14:paraId="2BDAD160" w14:textId="77777777" w:rsidR="004E1F79" w:rsidRDefault="004E1F79" w:rsidP="00702DAD">
      <w:pPr>
        <w:pStyle w:val="Akapitzlist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2C1D991" w14:textId="77777777" w:rsidR="008547C6" w:rsidRDefault="008547C6" w:rsidP="00702DAD">
      <w:pPr>
        <w:pStyle w:val="Akapitzlist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824C128" w14:textId="77777777" w:rsidR="008547C6" w:rsidRDefault="008547C6" w:rsidP="00702DAD">
      <w:pPr>
        <w:pStyle w:val="Akapitzlist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04B527D" w14:textId="77777777" w:rsidR="008547C6" w:rsidRPr="00702DAD" w:rsidRDefault="008547C6" w:rsidP="00702DAD">
      <w:pPr>
        <w:pStyle w:val="Akapitzlist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5EF12C5" w14:textId="00C85278" w:rsidR="00546CE3" w:rsidRPr="00702DAD" w:rsidRDefault="00546CE3" w:rsidP="00702DAD">
      <w:pPr>
        <w:pStyle w:val="Akapitzlist"/>
        <w:numPr>
          <w:ilvl w:val="0"/>
          <w:numId w:val="30"/>
        </w:numPr>
        <w:spacing w:after="0" w:line="276" w:lineRule="auto"/>
        <w:ind w:left="1040"/>
        <w:jc w:val="both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lastRenderedPageBreak/>
        <w:t>Organizacja pracy</w:t>
      </w:r>
    </w:p>
    <w:p w14:paraId="51921536" w14:textId="155EE722" w:rsidR="00E67744" w:rsidRPr="00702DAD" w:rsidRDefault="00546CE3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System organizacji pracy nie powinien systemowo opierać się na pracy w godzinach nadliczbowych. Harmonogramy pracy są planowane w sposób zapewniający równowagę między życiem zawodowym a prywatnym.</w:t>
      </w:r>
    </w:p>
    <w:p w14:paraId="40CFF70B" w14:textId="77777777" w:rsidR="00546CE3" w:rsidRPr="00702DAD" w:rsidDel="00AD2D85" w:rsidRDefault="00546CE3" w:rsidP="00702DAD">
      <w:pPr>
        <w:pStyle w:val="Akapitzlist"/>
        <w:spacing w:after="0" w:line="276" w:lineRule="auto"/>
        <w:rPr>
          <w:rFonts w:ascii="Tahoma" w:hAnsi="Tahoma" w:cs="Tahoma"/>
          <w:sz w:val="20"/>
          <w:szCs w:val="20"/>
        </w:rPr>
      </w:pPr>
    </w:p>
    <w:p w14:paraId="1B6340BF" w14:textId="3B110CB1" w:rsidR="00FE3606" w:rsidRPr="00702DAD" w:rsidRDefault="009B49F2" w:rsidP="00702DAD">
      <w:pPr>
        <w:pStyle w:val="Akapitzlist"/>
        <w:numPr>
          <w:ilvl w:val="0"/>
          <w:numId w:val="7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 w:rsidDel="00AD2D85">
        <w:rPr>
          <w:rFonts w:ascii="Tahoma" w:hAnsi="Tahoma" w:cs="Tahoma"/>
          <w:b/>
          <w:bCs/>
          <w:sz w:val="20"/>
          <w:szCs w:val="20"/>
        </w:rPr>
        <w:t>Wynagrodzenie i świadczenia dodatkowe</w:t>
      </w:r>
      <w:bookmarkStart w:id="9" w:name="_Hlk205222194"/>
      <w:r w:rsidR="004E1F79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8E868A0" w14:textId="0BF836AD" w:rsidR="002D6C6B" w:rsidRPr="004E1F79" w:rsidRDefault="00836310" w:rsidP="004E1F79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Grupa UNIMOT oczekuje od Partnerów Biznesowych</w:t>
      </w:r>
      <w:r w:rsidR="00FE0E37" w:rsidRPr="00702DAD">
        <w:rPr>
          <w:rFonts w:ascii="Tahoma" w:hAnsi="Tahoma" w:cs="Tahoma"/>
          <w:sz w:val="20"/>
          <w:szCs w:val="20"/>
        </w:rPr>
        <w:t xml:space="preserve"> zapewnienia</w:t>
      </w:r>
      <w:bookmarkEnd w:id="9"/>
      <w:r w:rsidR="006168CB" w:rsidRPr="00702DAD">
        <w:rPr>
          <w:rFonts w:ascii="Tahoma" w:hAnsi="Tahoma" w:cs="Tahoma"/>
          <w:sz w:val="20"/>
          <w:szCs w:val="20"/>
        </w:rPr>
        <w:t xml:space="preserve"> </w:t>
      </w:r>
      <w:r w:rsidR="00E85C2A" w:rsidRPr="00702DAD">
        <w:rPr>
          <w:rFonts w:ascii="Tahoma" w:hAnsi="Tahoma" w:cs="Tahoma"/>
          <w:sz w:val="20"/>
          <w:szCs w:val="20"/>
        </w:rPr>
        <w:t xml:space="preserve">pracownikom </w:t>
      </w:r>
      <w:r w:rsidRPr="00702DAD">
        <w:rPr>
          <w:rFonts w:ascii="Tahoma" w:hAnsi="Tahoma" w:cs="Tahoma"/>
          <w:sz w:val="20"/>
          <w:szCs w:val="20"/>
        </w:rPr>
        <w:t>uczciw</w:t>
      </w:r>
      <w:r w:rsidR="00FE0E37" w:rsidRPr="00702DAD">
        <w:rPr>
          <w:rFonts w:ascii="Tahoma" w:hAnsi="Tahoma" w:cs="Tahoma"/>
          <w:sz w:val="20"/>
          <w:szCs w:val="20"/>
        </w:rPr>
        <w:t>ych</w:t>
      </w:r>
      <w:r w:rsidRPr="00702DAD">
        <w:rPr>
          <w:rFonts w:ascii="Tahoma" w:hAnsi="Tahoma" w:cs="Tahoma"/>
          <w:sz w:val="20"/>
          <w:szCs w:val="20"/>
        </w:rPr>
        <w:t xml:space="preserve"> i</w:t>
      </w:r>
      <w:r w:rsidR="00253175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przejrzyst</w:t>
      </w:r>
      <w:r w:rsidR="00FE0E37" w:rsidRPr="00702DAD">
        <w:rPr>
          <w:rFonts w:ascii="Tahoma" w:hAnsi="Tahoma" w:cs="Tahoma"/>
          <w:sz w:val="20"/>
          <w:szCs w:val="20"/>
        </w:rPr>
        <w:t>ych</w:t>
      </w:r>
      <w:r w:rsidRPr="00702DAD">
        <w:rPr>
          <w:rFonts w:ascii="Tahoma" w:hAnsi="Tahoma" w:cs="Tahoma"/>
          <w:sz w:val="20"/>
          <w:szCs w:val="20"/>
        </w:rPr>
        <w:t xml:space="preserve"> warunk</w:t>
      </w:r>
      <w:r w:rsidR="00611864" w:rsidRPr="00702DAD">
        <w:rPr>
          <w:rFonts w:ascii="Tahoma" w:hAnsi="Tahoma" w:cs="Tahoma"/>
          <w:sz w:val="20"/>
          <w:szCs w:val="20"/>
        </w:rPr>
        <w:t>ów</w:t>
      </w:r>
      <w:r w:rsidRPr="00702DAD">
        <w:rPr>
          <w:rFonts w:ascii="Tahoma" w:hAnsi="Tahoma" w:cs="Tahoma"/>
          <w:sz w:val="20"/>
          <w:szCs w:val="20"/>
        </w:rPr>
        <w:t xml:space="preserve"> wynagradzania, zgodn</w:t>
      </w:r>
      <w:r w:rsidR="00F45ADC">
        <w:rPr>
          <w:rFonts w:ascii="Tahoma" w:hAnsi="Tahoma" w:cs="Tahoma"/>
          <w:sz w:val="20"/>
          <w:szCs w:val="20"/>
        </w:rPr>
        <w:t>i</w:t>
      </w:r>
      <w:r w:rsidRPr="00702DAD">
        <w:rPr>
          <w:rFonts w:ascii="Tahoma" w:hAnsi="Tahoma" w:cs="Tahoma"/>
          <w:sz w:val="20"/>
          <w:szCs w:val="20"/>
        </w:rPr>
        <w:t>e z obowiązującym prawem oraz zasadami etycznego zatrudnienia</w:t>
      </w:r>
      <w:r w:rsidR="004E1F79">
        <w:rPr>
          <w:rFonts w:ascii="Tahoma" w:hAnsi="Tahoma" w:cs="Tahoma"/>
          <w:sz w:val="20"/>
          <w:szCs w:val="20"/>
        </w:rPr>
        <w:t>.</w:t>
      </w:r>
    </w:p>
    <w:p w14:paraId="5134B3DF" w14:textId="6E4DDC69" w:rsidR="002D6C6B" w:rsidRPr="004E1F79" w:rsidRDefault="00836310" w:rsidP="004E1F79">
      <w:pPr>
        <w:pStyle w:val="Akapitzlist"/>
        <w:numPr>
          <w:ilvl w:val="0"/>
          <w:numId w:val="30"/>
        </w:numPr>
        <w:spacing w:after="0" w:line="276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Pracownikom wypłacane jest wynagrodzenie nie niższe niż obowiązujące ustawowe minimum, zgodnie z warunkami zatrudnienia oraz obowiązującym prawem pracy.</w:t>
      </w:r>
    </w:p>
    <w:p w14:paraId="4E7496E1" w14:textId="647CAEEB" w:rsidR="002D6C6B" w:rsidRPr="004E1F79" w:rsidRDefault="00836310" w:rsidP="004E1F79">
      <w:pPr>
        <w:pStyle w:val="Akapitzlist"/>
        <w:numPr>
          <w:ilvl w:val="0"/>
          <w:numId w:val="30"/>
        </w:numPr>
        <w:spacing w:after="0" w:line="276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Wynagrodzenie jest wypłacane terminowo i zgodnie z postanowieniami umownymi.</w:t>
      </w:r>
    </w:p>
    <w:p w14:paraId="6D9996DE" w14:textId="509BF838" w:rsidR="002D6C6B" w:rsidRPr="004E1F79" w:rsidRDefault="00836310" w:rsidP="004E1F79">
      <w:pPr>
        <w:pStyle w:val="Akapitzlist"/>
        <w:numPr>
          <w:ilvl w:val="0"/>
          <w:numId w:val="30"/>
        </w:numPr>
        <w:spacing w:after="0" w:line="276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Pracownicy otrzymują czytelne zestawienie </w:t>
      </w:r>
      <w:r w:rsidR="00611864" w:rsidRPr="00702DAD">
        <w:rPr>
          <w:rFonts w:ascii="Tahoma" w:hAnsi="Tahoma" w:cs="Tahoma"/>
          <w:sz w:val="20"/>
          <w:szCs w:val="20"/>
        </w:rPr>
        <w:t>naliczonego wynagrodzenia</w:t>
      </w:r>
      <w:r w:rsidRPr="00702DAD">
        <w:rPr>
          <w:rFonts w:ascii="Tahoma" w:hAnsi="Tahoma" w:cs="Tahoma"/>
          <w:sz w:val="20"/>
          <w:szCs w:val="20"/>
        </w:rPr>
        <w:t>, zawierające szczegółowe informacje dotyczące składników wynagrodzenia, świadczeń dodatkowych oraz potrąceń</w:t>
      </w:r>
      <w:r w:rsidR="00E85C2A" w:rsidRPr="00702DAD">
        <w:rPr>
          <w:rFonts w:ascii="Tahoma" w:hAnsi="Tahoma" w:cs="Tahoma"/>
          <w:sz w:val="20"/>
          <w:szCs w:val="20"/>
        </w:rPr>
        <w:t>.</w:t>
      </w:r>
    </w:p>
    <w:p w14:paraId="4B361670" w14:textId="170655F2" w:rsidR="00CA3C12" w:rsidRPr="00702DAD" w:rsidRDefault="00836310" w:rsidP="004E1F79">
      <w:pPr>
        <w:pStyle w:val="Akapitzlist"/>
        <w:numPr>
          <w:ilvl w:val="0"/>
          <w:numId w:val="30"/>
        </w:numPr>
        <w:spacing w:after="0" w:line="276" w:lineRule="auto"/>
        <w:ind w:left="1077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Nie dokonuje się potrąceń z wynagrodzenia tytułem kar dyscyplinarnych ani innych potrąceń bez wyraźnej, uprzedniej zgody pracownika — chyba że dopuszcza to obowiązujące prawo krajowe.</w:t>
      </w:r>
    </w:p>
    <w:p w14:paraId="0AFD37AD" w14:textId="77777777" w:rsidR="00836310" w:rsidRPr="00702DAD" w:rsidDel="00AD2D85" w:rsidRDefault="00836310" w:rsidP="00702DAD">
      <w:pPr>
        <w:pStyle w:val="Akapitzlist"/>
        <w:spacing w:after="0" w:line="276" w:lineRule="auto"/>
        <w:rPr>
          <w:rFonts w:ascii="Tahoma" w:hAnsi="Tahoma" w:cs="Tahoma"/>
          <w:sz w:val="20"/>
          <w:szCs w:val="20"/>
        </w:rPr>
      </w:pPr>
    </w:p>
    <w:p w14:paraId="6DE9542A" w14:textId="0BA752D9" w:rsidR="009B49F2" w:rsidRPr="00702DAD" w:rsidDel="00AD2D85" w:rsidRDefault="00CA3C12" w:rsidP="00702DAD">
      <w:pPr>
        <w:pStyle w:val="Akapitzlist"/>
        <w:numPr>
          <w:ilvl w:val="0"/>
          <w:numId w:val="7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 w:rsidDel="00AD2D85">
        <w:rPr>
          <w:rFonts w:ascii="Tahoma" w:hAnsi="Tahoma" w:cs="Tahoma"/>
          <w:b/>
          <w:bCs/>
          <w:sz w:val="20"/>
          <w:szCs w:val="20"/>
        </w:rPr>
        <w:t>Szkolenia i rozwój umiejętności</w:t>
      </w:r>
    </w:p>
    <w:p w14:paraId="0D172E8C" w14:textId="2D84009F" w:rsidR="00CA7A49" w:rsidRPr="00702DAD" w:rsidRDefault="001B0003" w:rsidP="004E1F79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Grupa UNIMOT oczekuje od Partnerów Biznesowych</w:t>
      </w:r>
      <w:r w:rsidR="00FE0E37" w:rsidRPr="00702DAD">
        <w:rPr>
          <w:rFonts w:ascii="Tahoma" w:hAnsi="Tahoma" w:cs="Tahoma"/>
          <w:sz w:val="20"/>
          <w:szCs w:val="20"/>
        </w:rPr>
        <w:t xml:space="preserve"> zapewnienia</w:t>
      </w:r>
      <w:r w:rsidR="006168CB" w:rsidRPr="00702DAD">
        <w:rPr>
          <w:rFonts w:ascii="Tahoma" w:hAnsi="Tahoma" w:cs="Tahoma"/>
          <w:sz w:val="20"/>
          <w:szCs w:val="20"/>
        </w:rPr>
        <w:t xml:space="preserve"> </w:t>
      </w:r>
      <w:r w:rsidR="007F0027" w:rsidRPr="00702DAD">
        <w:rPr>
          <w:rFonts w:ascii="Tahoma" w:hAnsi="Tahoma" w:cs="Tahoma"/>
          <w:sz w:val="20"/>
          <w:szCs w:val="20"/>
        </w:rPr>
        <w:t xml:space="preserve">pracownikom </w:t>
      </w:r>
      <w:r w:rsidRPr="00702DAD">
        <w:rPr>
          <w:rFonts w:ascii="Tahoma" w:hAnsi="Tahoma" w:cs="Tahoma"/>
          <w:sz w:val="20"/>
          <w:szCs w:val="20"/>
        </w:rPr>
        <w:t>warunk</w:t>
      </w:r>
      <w:r w:rsidR="00FE0E37" w:rsidRPr="00702DAD">
        <w:rPr>
          <w:rFonts w:ascii="Tahoma" w:hAnsi="Tahoma" w:cs="Tahoma"/>
          <w:sz w:val="20"/>
          <w:szCs w:val="20"/>
        </w:rPr>
        <w:t>ów</w:t>
      </w:r>
      <w:r w:rsidRPr="00702DAD">
        <w:rPr>
          <w:rFonts w:ascii="Tahoma" w:hAnsi="Tahoma" w:cs="Tahoma"/>
          <w:sz w:val="20"/>
          <w:szCs w:val="20"/>
        </w:rPr>
        <w:t xml:space="preserve"> do podnoszenia kwalifikacji i </w:t>
      </w:r>
      <w:r w:rsidR="00FE0E37" w:rsidRPr="00702DAD">
        <w:rPr>
          <w:rFonts w:ascii="Tahoma" w:hAnsi="Tahoma" w:cs="Tahoma"/>
          <w:sz w:val="20"/>
          <w:szCs w:val="20"/>
        </w:rPr>
        <w:t xml:space="preserve">wsparcia </w:t>
      </w:r>
      <w:r w:rsidRPr="00702DAD">
        <w:rPr>
          <w:rFonts w:ascii="Tahoma" w:hAnsi="Tahoma" w:cs="Tahoma"/>
          <w:sz w:val="20"/>
          <w:szCs w:val="20"/>
        </w:rPr>
        <w:t>ich rozw</w:t>
      </w:r>
      <w:r w:rsidR="00FE0E37" w:rsidRPr="00702DAD">
        <w:rPr>
          <w:rFonts w:ascii="Tahoma" w:hAnsi="Tahoma" w:cs="Tahoma"/>
          <w:sz w:val="20"/>
          <w:szCs w:val="20"/>
        </w:rPr>
        <w:t>oju</w:t>
      </w:r>
      <w:r w:rsidRPr="00702DAD">
        <w:rPr>
          <w:rFonts w:ascii="Tahoma" w:hAnsi="Tahoma" w:cs="Tahoma"/>
          <w:sz w:val="20"/>
          <w:szCs w:val="20"/>
        </w:rPr>
        <w:t xml:space="preserve"> zawodow</w:t>
      </w:r>
      <w:r w:rsidR="00FE0E37" w:rsidRPr="00702DAD">
        <w:rPr>
          <w:rFonts w:ascii="Tahoma" w:hAnsi="Tahoma" w:cs="Tahoma"/>
          <w:sz w:val="20"/>
          <w:szCs w:val="20"/>
        </w:rPr>
        <w:t>ego</w:t>
      </w:r>
      <w:r w:rsidRPr="00702DAD">
        <w:rPr>
          <w:rFonts w:ascii="Tahoma" w:hAnsi="Tahoma" w:cs="Tahoma"/>
          <w:sz w:val="20"/>
          <w:szCs w:val="20"/>
        </w:rPr>
        <w:t>.</w:t>
      </w:r>
    </w:p>
    <w:p w14:paraId="2B1F4B5F" w14:textId="77777777" w:rsidR="00CA7A49" w:rsidRPr="00702DAD" w:rsidRDefault="001B0003" w:rsidP="004E1F7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Pracownicy mają dostęp do szkoleń oraz inicjatyw wspierających rozwój umiejętności niezbędnych do wykonywania powierzonych obowiązków.</w:t>
      </w:r>
    </w:p>
    <w:p w14:paraId="58A6A82D" w14:textId="65272E12" w:rsidR="00D9726B" w:rsidRPr="00702DAD" w:rsidRDefault="001B0003" w:rsidP="004E1F7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Możliwości rozwoju zawodowego są identyfikowane i aktywnie promowane w sposób dostosowany do potrzeb organizacji i pracowników.</w:t>
      </w:r>
    </w:p>
    <w:p w14:paraId="68EC9F5D" w14:textId="77777777" w:rsidR="00CA7A49" w:rsidRPr="00702DAD" w:rsidDel="00AD2D85" w:rsidRDefault="00CA7A49" w:rsidP="00702DAD">
      <w:pPr>
        <w:pStyle w:val="Akapitzlist"/>
        <w:spacing w:after="0" w:line="276" w:lineRule="auto"/>
        <w:rPr>
          <w:rFonts w:ascii="Tahoma" w:hAnsi="Tahoma" w:cs="Tahoma"/>
          <w:sz w:val="20"/>
          <w:szCs w:val="20"/>
        </w:rPr>
      </w:pPr>
    </w:p>
    <w:p w14:paraId="7FC7CC7B" w14:textId="6B828EB5" w:rsidR="00FE3606" w:rsidRPr="00702DAD" w:rsidRDefault="00D9726B" w:rsidP="00702DAD">
      <w:pPr>
        <w:pStyle w:val="Akapitzlist"/>
        <w:numPr>
          <w:ilvl w:val="0"/>
          <w:numId w:val="7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 w:rsidDel="00AD2D85">
        <w:rPr>
          <w:rFonts w:ascii="Tahoma" w:hAnsi="Tahoma" w:cs="Tahoma"/>
          <w:b/>
          <w:bCs/>
          <w:sz w:val="20"/>
          <w:szCs w:val="20"/>
        </w:rPr>
        <w:t>Równość i różnorodność</w:t>
      </w:r>
    </w:p>
    <w:p w14:paraId="1ED38CB2" w14:textId="129AFF09" w:rsidR="007F0027" w:rsidRPr="004E1F79" w:rsidRDefault="007F0027" w:rsidP="004E1F79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Partnerzy Biznesowi wspierają środowisko pracy oparte na szacunku, równości i</w:t>
      </w:r>
      <w:r w:rsidR="00C872E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niedyskryminacji.</w:t>
      </w:r>
    </w:p>
    <w:p w14:paraId="6CDA22C1" w14:textId="77777777" w:rsidR="007F0027" w:rsidRPr="00702DAD" w:rsidRDefault="007F0027" w:rsidP="00702DAD">
      <w:pPr>
        <w:pStyle w:val="Akapitzlist"/>
        <w:numPr>
          <w:ilvl w:val="0"/>
          <w:numId w:val="32"/>
        </w:numPr>
        <w:spacing w:after="0" w:line="276" w:lineRule="auto"/>
        <w:ind w:left="1097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Wszystkim pracownikom zapewniane są równe szanse w zatrudnieniu i rozwoju zawodowym, w oparciu o obiektywne, transparentne i sprawiedliwe kryteria – bez względu na płeć, wiek, pochodzenie, orientację seksualną, niepełnosprawność, wyznanie czy inne cechy osobiste.</w:t>
      </w:r>
    </w:p>
    <w:p w14:paraId="384AEEE6" w14:textId="6A179A5D" w:rsidR="00DD1290" w:rsidRPr="00702DAD" w:rsidRDefault="007F0027" w:rsidP="00702DAD">
      <w:pPr>
        <w:pStyle w:val="Akapitzlist"/>
        <w:numPr>
          <w:ilvl w:val="0"/>
          <w:numId w:val="32"/>
        </w:numPr>
        <w:spacing w:after="0" w:line="276" w:lineRule="auto"/>
        <w:ind w:left="1097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Partnerzy </w:t>
      </w:r>
      <w:r w:rsidR="002056EC" w:rsidRPr="00702DAD">
        <w:rPr>
          <w:rFonts w:ascii="Tahoma" w:hAnsi="Tahoma" w:cs="Tahoma"/>
          <w:sz w:val="20"/>
          <w:szCs w:val="20"/>
        </w:rPr>
        <w:t xml:space="preserve">Biznesowi </w:t>
      </w:r>
      <w:r w:rsidRPr="00702DAD">
        <w:rPr>
          <w:rFonts w:ascii="Tahoma" w:hAnsi="Tahoma" w:cs="Tahoma"/>
          <w:sz w:val="20"/>
          <w:szCs w:val="20"/>
        </w:rPr>
        <w:t>przeciwdziałają wszelkim formom dyskryminacji, molestowania i</w:t>
      </w:r>
      <w:r w:rsidR="00C872E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mobbingu w miejscu pracy. Zidentyfikowane przypadki są niezwłocznie analizowane, a</w:t>
      </w:r>
      <w:r w:rsidR="00C872E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następnie podejmowane są odpowiednie działania naprawcze.</w:t>
      </w:r>
      <w:r w:rsidR="002056EC" w:rsidRPr="00702DAD">
        <w:rPr>
          <w:rFonts w:ascii="Tahoma" w:hAnsi="Tahoma" w:cs="Tahoma"/>
          <w:sz w:val="20"/>
          <w:szCs w:val="20"/>
        </w:rPr>
        <w:t xml:space="preserve"> </w:t>
      </w:r>
    </w:p>
    <w:p w14:paraId="15ED271B" w14:textId="77777777" w:rsidR="007F0027" w:rsidRPr="00702DAD" w:rsidDel="00AD2D85" w:rsidRDefault="007F0027" w:rsidP="00702DAD">
      <w:pPr>
        <w:pStyle w:val="Akapitzlist"/>
        <w:spacing w:after="0" w:line="276" w:lineRule="auto"/>
        <w:rPr>
          <w:rFonts w:ascii="Tahoma" w:hAnsi="Tahoma" w:cs="Tahoma"/>
          <w:sz w:val="20"/>
          <w:szCs w:val="20"/>
        </w:rPr>
      </w:pPr>
    </w:p>
    <w:p w14:paraId="3C179297" w14:textId="5E3F6514" w:rsidR="00DD1290" w:rsidRPr="00702DAD" w:rsidDel="00AD2D85" w:rsidRDefault="00DD1290" w:rsidP="00702DAD">
      <w:pPr>
        <w:pStyle w:val="Akapitzlist"/>
        <w:numPr>
          <w:ilvl w:val="0"/>
          <w:numId w:val="7"/>
        </w:num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 w:rsidDel="00AD2D85">
        <w:rPr>
          <w:rFonts w:ascii="Tahoma" w:hAnsi="Tahoma" w:cs="Tahoma"/>
          <w:b/>
          <w:bCs/>
          <w:sz w:val="20"/>
          <w:szCs w:val="20"/>
        </w:rPr>
        <w:t>Bezpieczeństwo i higiena pracy</w:t>
      </w:r>
    </w:p>
    <w:bookmarkEnd w:id="5"/>
    <w:p w14:paraId="291F1D55" w14:textId="6F6BE5FA" w:rsidR="009B4B3C" w:rsidRDefault="00E82880" w:rsidP="004E1F79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Partner</w:t>
      </w:r>
      <w:r w:rsidR="009B4B3C" w:rsidRPr="00702DAD">
        <w:rPr>
          <w:rFonts w:ascii="Tahoma" w:hAnsi="Tahoma" w:cs="Tahoma"/>
          <w:sz w:val="20"/>
          <w:szCs w:val="20"/>
        </w:rPr>
        <w:t>zy</w:t>
      </w:r>
      <w:r w:rsidRPr="00702DAD">
        <w:rPr>
          <w:rFonts w:ascii="Tahoma" w:hAnsi="Tahoma" w:cs="Tahoma"/>
          <w:sz w:val="20"/>
          <w:szCs w:val="20"/>
        </w:rPr>
        <w:t xml:space="preserve"> Biznesow</w:t>
      </w:r>
      <w:r w:rsidR="009B4B3C" w:rsidRPr="00702DAD">
        <w:rPr>
          <w:rFonts w:ascii="Tahoma" w:hAnsi="Tahoma" w:cs="Tahoma"/>
          <w:sz w:val="20"/>
          <w:szCs w:val="20"/>
        </w:rPr>
        <w:t>i</w:t>
      </w:r>
      <w:r w:rsidRPr="00702DAD">
        <w:rPr>
          <w:rFonts w:ascii="Tahoma" w:hAnsi="Tahoma" w:cs="Tahoma"/>
          <w:sz w:val="20"/>
          <w:szCs w:val="20"/>
        </w:rPr>
        <w:t xml:space="preserve"> zapewni</w:t>
      </w:r>
      <w:r w:rsidR="009B4B3C" w:rsidRPr="00702DAD">
        <w:rPr>
          <w:rFonts w:ascii="Tahoma" w:hAnsi="Tahoma" w:cs="Tahoma"/>
          <w:sz w:val="20"/>
          <w:szCs w:val="20"/>
        </w:rPr>
        <w:t>ają</w:t>
      </w:r>
      <w:r w:rsidRPr="00702DAD">
        <w:rPr>
          <w:rFonts w:ascii="Tahoma" w:hAnsi="Tahoma" w:cs="Tahoma"/>
          <w:sz w:val="20"/>
          <w:szCs w:val="20"/>
        </w:rPr>
        <w:t xml:space="preserve"> bezpieczne, higieniczne i zdrowe środowisko pracy, zgodne z</w:t>
      </w:r>
      <w:r w:rsidR="00C872E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obowiązującymi przepisami i najlepszymi praktykami BHP.</w:t>
      </w:r>
    </w:p>
    <w:p w14:paraId="7E7A316E" w14:textId="77777777" w:rsidR="00DD6BD3" w:rsidRPr="00702DAD" w:rsidRDefault="00DD6BD3" w:rsidP="004E1F79">
      <w:pPr>
        <w:spacing w:after="0" w:line="276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7F1ED9BA" w14:textId="27663579" w:rsidR="009B4B3C" w:rsidRPr="00702DAD" w:rsidRDefault="00E82880" w:rsidP="00702DA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Pracownicy </w:t>
      </w:r>
      <w:r w:rsidR="009B4B3C" w:rsidRPr="00702DAD">
        <w:rPr>
          <w:rFonts w:ascii="Tahoma" w:hAnsi="Tahoma" w:cs="Tahoma"/>
          <w:sz w:val="20"/>
          <w:szCs w:val="20"/>
        </w:rPr>
        <w:t>Partnerów Biznesowy</w:t>
      </w:r>
      <w:r w:rsidR="006168CB" w:rsidRPr="00702DAD">
        <w:rPr>
          <w:rFonts w:ascii="Tahoma" w:hAnsi="Tahoma" w:cs="Tahoma"/>
          <w:sz w:val="20"/>
          <w:szCs w:val="20"/>
        </w:rPr>
        <w:t>ch</w:t>
      </w:r>
      <w:r w:rsidR="009B4B3C" w:rsidRPr="00702DAD">
        <w:rPr>
          <w:rFonts w:ascii="Tahoma" w:hAnsi="Tahoma" w:cs="Tahoma"/>
          <w:sz w:val="20"/>
          <w:szCs w:val="20"/>
        </w:rPr>
        <w:t xml:space="preserve"> </w:t>
      </w:r>
      <w:r w:rsidRPr="00702DAD">
        <w:rPr>
          <w:rFonts w:ascii="Tahoma" w:hAnsi="Tahoma" w:cs="Tahoma"/>
          <w:sz w:val="20"/>
          <w:szCs w:val="20"/>
        </w:rPr>
        <w:t>są wyposażeni w odpowiednie środki ochrony indywidualnej i odzież ochronną – zapewnione bezpłatnie, w dobrym stanie technicznym i</w:t>
      </w:r>
      <w:r w:rsidR="00C872E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dostosowane do zidentyfikowanych ryzyk zawodowych.</w:t>
      </w:r>
    </w:p>
    <w:p w14:paraId="0CDA5CEB" w14:textId="4C7A361A" w:rsidR="000B4AF4" w:rsidRPr="00702DAD" w:rsidRDefault="00E82880" w:rsidP="00702DAD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Zagrożenia w obszarze BHP są systematycznie identyfikowane, analizowane i</w:t>
      </w:r>
      <w:r w:rsidR="00C872E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monitorowane. W razie potrzeby wdrażane są działania prewencyjne lub korygujące.</w:t>
      </w:r>
    </w:p>
    <w:p w14:paraId="75F7C835" w14:textId="77777777" w:rsidR="007E5B5C" w:rsidRDefault="00E82880" w:rsidP="007E5B5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Wypadki przy pracy oraz zdarzenia potencjalnie wypadkowe są zgłaszane, rejestrowane, analizowane oraz objęte działaniami zaradczymi. Prowadzony jest rejestr incydentów BHP</w:t>
      </w:r>
      <w:r w:rsidR="000B4AF4" w:rsidRPr="00702DAD">
        <w:rPr>
          <w:rFonts w:ascii="Tahoma" w:hAnsi="Tahoma" w:cs="Tahoma"/>
          <w:sz w:val="20"/>
          <w:szCs w:val="20"/>
        </w:rPr>
        <w:t>.</w:t>
      </w:r>
    </w:p>
    <w:p w14:paraId="385CD87B" w14:textId="7C80D852" w:rsidR="00964796" w:rsidRPr="007E5B5C" w:rsidRDefault="00E82880" w:rsidP="007E5B5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E5B5C">
        <w:rPr>
          <w:rFonts w:ascii="Tahoma" w:hAnsi="Tahoma" w:cs="Tahoma"/>
          <w:sz w:val="20"/>
          <w:szCs w:val="20"/>
        </w:rPr>
        <w:lastRenderedPageBreak/>
        <w:t>W celu ograniczenia ryzyk zawodowych obowiązują wewnętrzne procedury BHP, wdrożone i komunikowane pracownikom.</w:t>
      </w:r>
    </w:p>
    <w:p w14:paraId="67C1C86A" w14:textId="77777777" w:rsidR="00DD6BD3" w:rsidRDefault="00DD6BD3" w:rsidP="00DD6BD3">
      <w:pPr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17A6DFAF" w14:textId="30C7457E" w:rsidR="00BC57FE" w:rsidRPr="00702DAD" w:rsidRDefault="00F72F39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OCHRONA ŚRODOWISKA NATURALNEGO I KLIMATU</w:t>
      </w:r>
    </w:p>
    <w:p w14:paraId="38C93E9B" w14:textId="77777777" w:rsidR="004E1F79" w:rsidRPr="00702DAD" w:rsidRDefault="004E1F79" w:rsidP="00702DAD">
      <w:pPr>
        <w:spacing w:after="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3A76662" w14:textId="30E50092" w:rsidR="000B4AF4" w:rsidRPr="00702DAD" w:rsidRDefault="000B4AF4" w:rsidP="00A15F7B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Grupa UNIMOT oczekuje od swoich Partnerów Biznesowych pełnego zaangażowania w działania na rzecz ochrony środowiska i klimatu. Partnerzy są zobowiązani do prowadzenia działalności w sposób odpowiedzialny, zgodny z obowiązującymi przepisami oraz najlepszymi praktykami środowiskowymi, w</w:t>
      </w:r>
      <w:r w:rsidR="00C872E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szczególności poprzez:</w:t>
      </w:r>
    </w:p>
    <w:p w14:paraId="680F8BC0" w14:textId="77777777" w:rsidR="000B4AF4" w:rsidRPr="00702DAD" w:rsidRDefault="000B4AF4" w:rsidP="00A15F7B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Zgodność z regulacjami</w:t>
      </w:r>
      <w:r w:rsidRPr="00702DAD">
        <w:rPr>
          <w:rFonts w:ascii="Tahoma" w:hAnsi="Tahoma" w:cs="Tahoma"/>
          <w:sz w:val="20"/>
          <w:szCs w:val="20"/>
        </w:rPr>
        <w:t xml:space="preserve"> – zapewnienie zgodności działalności z wszelkimi obowiązującymi przepisami prawa dotyczącymi ochrony środowiska i klimatu, w tym uzyskanie oraz utrzymanie wszystkich wymaganych pozwoleń, licencji i zezwoleń środowiskowych.</w:t>
      </w:r>
    </w:p>
    <w:p w14:paraId="37712FE6" w14:textId="77777777" w:rsidR="000B4AF4" w:rsidRPr="00702DAD" w:rsidRDefault="000B4AF4" w:rsidP="00A15F7B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Identyfikacja i zarządzanie ryzykiem</w:t>
      </w:r>
      <w:r w:rsidRPr="00702DAD">
        <w:rPr>
          <w:rFonts w:ascii="Tahoma" w:hAnsi="Tahoma" w:cs="Tahoma"/>
          <w:sz w:val="20"/>
          <w:szCs w:val="20"/>
        </w:rPr>
        <w:t xml:space="preserve"> – systematyczne identyfikowanie i analizowanie ryzyk środowiskowych oraz potencjalnego negatywnego wpływu działalności na środowisko, a także wdrażanie działań zmierzających do ich ograniczenia.</w:t>
      </w:r>
    </w:p>
    <w:p w14:paraId="0C475AA8" w14:textId="77777777" w:rsidR="000B4AF4" w:rsidRPr="00702DAD" w:rsidRDefault="000B4AF4" w:rsidP="00A15F7B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 xml:space="preserve">Redukcja emisji i efektywność energetyczna </w:t>
      </w:r>
      <w:r w:rsidRPr="00702DAD">
        <w:rPr>
          <w:rFonts w:ascii="Tahoma" w:hAnsi="Tahoma" w:cs="Tahoma"/>
          <w:sz w:val="20"/>
          <w:szCs w:val="20"/>
        </w:rPr>
        <w:t>– podejmowanie działań w celu monitorowania oraz ograniczania emisji gazów cieplarnianych, w szczególności poprzez poprawę efektywności energetycznej i stosowanie technologii niskoemisyjnych.</w:t>
      </w:r>
    </w:p>
    <w:p w14:paraId="286D992D" w14:textId="1B15DB91" w:rsidR="000B4AF4" w:rsidRPr="00702DAD" w:rsidRDefault="000B4AF4" w:rsidP="00A15F7B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Zarządzanie zasobami wodnymi</w:t>
      </w:r>
      <w:r w:rsidRPr="00702DAD">
        <w:rPr>
          <w:rFonts w:ascii="Tahoma" w:hAnsi="Tahoma" w:cs="Tahoma"/>
          <w:sz w:val="20"/>
          <w:szCs w:val="20"/>
        </w:rPr>
        <w:t xml:space="preserve"> – racjonalne gospodarowanie wodą oraz ściekami, z</w:t>
      </w:r>
      <w:r w:rsidR="00C872E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uwzględnieniem możliwości odzysku i ponownego wykorzystania zasobów wodnych.</w:t>
      </w:r>
    </w:p>
    <w:p w14:paraId="0F9A2B64" w14:textId="0E5E65EF" w:rsidR="000B4AF4" w:rsidRPr="00702DAD" w:rsidRDefault="000B4AF4" w:rsidP="00A15F7B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Gospodarka odpadami</w:t>
      </w:r>
      <w:r w:rsidRPr="00702DAD">
        <w:rPr>
          <w:rFonts w:ascii="Tahoma" w:hAnsi="Tahoma" w:cs="Tahoma"/>
          <w:sz w:val="20"/>
          <w:szCs w:val="20"/>
        </w:rPr>
        <w:t xml:space="preserve"> – bezpieczne magazynowanie, przetwarzanie, transportowanie i usuwanie odpadów, zgodnie z obowiązującymi przepisami oraz w sposób minimalizujący wpływ na zdrowie ludzi i środowisko.</w:t>
      </w:r>
    </w:p>
    <w:p w14:paraId="287F5F37" w14:textId="2AA6D411" w:rsidR="000B4AF4" w:rsidRPr="00702DAD" w:rsidRDefault="000B4AF4" w:rsidP="00A15F7B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Postępowanie z substancjami niebezpiecznymi</w:t>
      </w:r>
      <w:r w:rsidRPr="00702DAD">
        <w:rPr>
          <w:rFonts w:ascii="Tahoma" w:hAnsi="Tahoma" w:cs="Tahoma"/>
          <w:sz w:val="20"/>
          <w:szCs w:val="20"/>
        </w:rPr>
        <w:t xml:space="preserve"> – właściwe przechowywanie, stosowanie i</w:t>
      </w:r>
      <w:r w:rsidR="00C872E9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>utylizacja substancji niebezpiecznych zgodnie z kartami charakterystyki i obowiązującymi przepisami prawa.</w:t>
      </w:r>
    </w:p>
    <w:p w14:paraId="39748A30" w14:textId="6677E16C" w:rsidR="000B4AF4" w:rsidRPr="00702DAD" w:rsidRDefault="000B4AF4" w:rsidP="00A15F7B">
      <w:pPr>
        <w:pStyle w:val="Akapitzlist"/>
        <w:numPr>
          <w:ilvl w:val="0"/>
          <w:numId w:val="34"/>
        </w:numPr>
        <w:spacing w:after="0" w:line="276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Zapobieganie awariom środowiskowym</w:t>
      </w:r>
      <w:r w:rsidRPr="00702DAD">
        <w:rPr>
          <w:rFonts w:ascii="Tahoma" w:hAnsi="Tahoma" w:cs="Tahoma"/>
          <w:sz w:val="20"/>
          <w:szCs w:val="20"/>
        </w:rPr>
        <w:t xml:space="preserve"> – wdrożenie odpowiednich systemów i procedur zapobiegających przypadkowym wyciekom, emisjom i innym incydentom środowiskowym oraz zapewnienie skutecznych mechanizmów ograniczania ich skutków.</w:t>
      </w:r>
    </w:p>
    <w:p w14:paraId="450E5BCC" w14:textId="77777777" w:rsidR="002A553B" w:rsidRPr="00702DAD" w:rsidRDefault="002A553B" w:rsidP="00DD6BD3">
      <w:pPr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ADD9422" w14:textId="34E420FB" w:rsidR="002A5226" w:rsidRDefault="002A5226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OCHRONA LOKALNYCH SPOŁECZNOŚCI</w:t>
      </w:r>
    </w:p>
    <w:p w14:paraId="35C58DE6" w14:textId="77777777" w:rsidR="002A553B" w:rsidRPr="00702DAD" w:rsidRDefault="002A553B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DA67923" w14:textId="3F0D0CCD" w:rsidR="00702D9E" w:rsidRDefault="00702D9E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Grupa UNIMOT oczekuje, że Partnerzy Biznesowi prowadzący działalność w obszarze obrotu paliwami, </w:t>
      </w:r>
      <w:r w:rsidR="00D271B2" w:rsidRPr="00702DAD">
        <w:rPr>
          <w:rFonts w:ascii="Tahoma" w:hAnsi="Tahoma" w:cs="Tahoma"/>
          <w:sz w:val="20"/>
          <w:szCs w:val="20"/>
        </w:rPr>
        <w:t xml:space="preserve">obrotu bitumenami, </w:t>
      </w:r>
      <w:r w:rsidRPr="00702DAD">
        <w:rPr>
          <w:rFonts w:ascii="Tahoma" w:hAnsi="Tahoma" w:cs="Tahoma"/>
          <w:sz w:val="20"/>
          <w:szCs w:val="20"/>
        </w:rPr>
        <w:t>logistyki, magazynowania oraz usług pokrewnych będą prowadzić operacje w</w:t>
      </w:r>
      <w:r w:rsidR="00A30E73">
        <w:rPr>
          <w:rFonts w:ascii="Tahoma" w:hAnsi="Tahoma" w:cs="Tahoma"/>
          <w:sz w:val="20"/>
          <w:szCs w:val="20"/>
        </w:rPr>
        <w:t> </w:t>
      </w:r>
      <w:r w:rsidRPr="00702DAD">
        <w:rPr>
          <w:rFonts w:ascii="Tahoma" w:hAnsi="Tahoma" w:cs="Tahoma"/>
          <w:sz w:val="20"/>
          <w:szCs w:val="20"/>
        </w:rPr>
        <w:t xml:space="preserve">sposób odpowiedzialny społecznie, z poszanowaniem praw, interesów i dobrostanu społeczności lokalnych, w których funkcjonują. W szczególności: </w:t>
      </w:r>
    </w:p>
    <w:p w14:paraId="61607A44" w14:textId="77777777" w:rsidR="00DD6BD3" w:rsidRPr="00702DAD" w:rsidRDefault="00DD6BD3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66820828" w14:textId="77777777" w:rsidR="00702D9E" w:rsidRPr="00702DAD" w:rsidRDefault="00702D9E" w:rsidP="00702DA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Minimalizacja negatywnego wpływu</w:t>
      </w:r>
    </w:p>
    <w:p w14:paraId="257FDB92" w14:textId="77777777" w:rsidR="00702D9E" w:rsidRPr="00702DAD" w:rsidRDefault="00702D9E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Partnerzy są zobowiązani do identyfikowania, monitorowania i ograniczania potencjalnie negatywnego wpływu swojej działalności na zdrowie, bezpieczeństwo, warunki życia oraz środowisko naturalne społeczności lokalnych.</w:t>
      </w:r>
    </w:p>
    <w:p w14:paraId="681973E9" w14:textId="77777777" w:rsidR="00DD6BD3" w:rsidRPr="00702DAD" w:rsidRDefault="00DD6BD3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57E1E0C6" w14:textId="77777777" w:rsidR="00702D9E" w:rsidRPr="00702DAD" w:rsidRDefault="00702D9E" w:rsidP="00702DA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Dialog i przejrzystość</w:t>
      </w:r>
    </w:p>
    <w:p w14:paraId="0F78EF10" w14:textId="77777777" w:rsidR="00702D9E" w:rsidRPr="00702DAD" w:rsidRDefault="00702D9E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W przypadku projektów mogących oddziaływać na otoczenie społeczne, Partnerzy powinni prowadzić otwarty dialog z przedstawicielami społeczności, konsultować planowane działania oraz informować o możliwych skutkach i planowanych środkach zaradczych.</w:t>
      </w:r>
    </w:p>
    <w:p w14:paraId="2D77F834" w14:textId="77777777" w:rsidR="00702D9E" w:rsidRDefault="00702D9E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184A5BFC" w14:textId="77777777" w:rsidR="00A30E73" w:rsidRDefault="00A30E73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2939902E" w14:textId="77777777" w:rsidR="00A30E73" w:rsidRPr="00702DAD" w:rsidRDefault="00A30E73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6E79AFFD" w14:textId="77777777" w:rsidR="00702D9E" w:rsidRPr="00702DAD" w:rsidRDefault="00702D9E" w:rsidP="00702DA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lastRenderedPageBreak/>
        <w:t>Równość i przeciwdziałanie wykluczeniu</w:t>
      </w:r>
    </w:p>
    <w:p w14:paraId="4D617997" w14:textId="77777777" w:rsidR="00702D9E" w:rsidRPr="00702DAD" w:rsidRDefault="00702D9E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Partnerzy zobowiązani są do przeciwdziałania wszelkim formom dyskryminacji i wykluczenia społecznego oraz do wspierania równego traktowania, godnych warunków życia i pracy, szczególnie w obszarach objętych ich działalnością operacyjną.</w:t>
      </w:r>
    </w:p>
    <w:p w14:paraId="2F827949" w14:textId="77777777" w:rsidR="00702D9E" w:rsidRPr="00702DAD" w:rsidRDefault="00702D9E" w:rsidP="00702DAD">
      <w:pPr>
        <w:pStyle w:val="Akapitzlist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B73C0C8" w14:textId="77777777" w:rsidR="00702D9E" w:rsidRPr="00702DAD" w:rsidRDefault="00702D9E" w:rsidP="00702DA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Poszanowanie prawa i lokalnych wartości</w:t>
      </w:r>
    </w:p>
    <w:p w14:paraId="62B79BA2" w14:textId="77777777" w:rsidR="00702D9E" w:rsidRPr="00702DAD" w:rsidRDefault="00702D9E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Wszelkie działania prowadzone na terenach zamieszkałych muszą być zgodne z obowiązującym prawem oraz respektować lokalne normy społeczne, zwyczaje, wartości kulturowe i dziedzictwo historyczne.</w:t>
      </w:r>
    </w:p>
    <w:p w14:paraId="38DA9408" w14:textId="77777777" w:rsidR="00702D9E" w:rsidRPr="00702DAD" w:rsidRDefault="00702D9E" w:rsidP="00702DAD">
      <w:pPr>
        <w:pStyle w:val="Akapitzlist"/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346DCC40" w14:textId="77777777" w:rsidR="00702D9E" w:rsidRPr="00702DAD" w:rsidRDefault="00702D9E" w:rsidP="00702DA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Wspieranie rozwoju lokalnego</w:t>
      </w:r>
    </w:p>
    <w:p w14:paraId="734188D1" w14:textId="7930BD19" w:rsidR="00702D9E" w:rsidRPr="00702DAD" w:rsidRDefault="00587C7B" w:rsidP="00702DAD">
      <w:pPr>
        <w:pStyle w:val="Akapitzlist"/>
        <w:spacing w:after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Oczekiwane są </w:t>
      </w:r>
      <w:r w:rsidR="00D271B2" w:rsidRPr="00702DAD">
        <w:rPr>
          <w:rFonts w:ascii="Tahoma" w:hAnsi="Tahoma" w:cs="Tahoma"/>
          <w:sz w:val="20"/>
          <w:szCs w:val="20"/>
        </w:rPr>
        <w:t xml:space="preserve">działania wspierające </w:t>
      </w:r>
      <w:r w:rsidR="00702D9E" w:rsidRPr="00702DAD">
        <w:rPr>
          <w:rFonts w:ascii="Tahoma" w:hAnsi="Tahoma" w:cs="Tahoma"/>
          <w:sz w:val="20"/>
          <w:szCs w:val="20"/>
        </w:rPr>
        <w:t>lokalny rozwój – m.in. poprzez tworzenie miejsc pracy, korzystanie z usług lokalnych podwykonawców, wspieranie edukacji oraz angażowanie się w</w:t>
      </w:r>
      <w:r w:rsidR="00A30E73">
        <w:rPr>
          <w:rFonts w:ascii="Tahoma" w:hAnsi="Tahoma" w:cs="Tahoma"/>
          <w:sz w:val="20"/>
          <w:szCs w:val="20"/>
        </w:rPr>
        <w:t> </w:t>
      </w:r>
      <w:r w:rsidR="00702D9E" w:rsidRPr="00702DAD">
        <w:rPr>
          <w:rFonts w:ascii="Tahoma" w:hAnsi="Tahoma" w:cs="Tahoma"/>
          <w:sz w:val="20"/>
          <w:szCs w:val="20"/>
        </w:rPr>
        <w:t>inicjatywy społeczne.</w:t>
      </w:r>
    </w:p>
    <w:p w14:paraId="69610227" w14:textId="77777777" w:rsidR="002A553B" w:rsidRPr="00702DAD" w:rsidRDefault="002A553B" w:rsidP="00DD6BD3">
      <w:pPr>
        <w:pStyle w:val="Akapitzlist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35EFAA6" w14:textId="77777777" w:rsidR="00757CF0" w:rsidRDefault="00757CF0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bookmarkStart w:id="10" w:name="_Hlk205293953"/>
      <w:r w:rsidRPr="00702DAD">
        <w:rPr>
          <w:rFonts w:ascii="Tahoma" w:hAnsi="Tahoma" w:cs="Tahoma"/>
          <w:b/>
          <w:bCs/>
          <w:sz w:val="20"/>
          <w:szCs w:val="20"/>
        </w:rPr>
        <w:t>Oczekiwania wobec Partnerów Biznesowych</w:t>
      </w:r>
    </w:p>
    <w:p w14:paraId="5F93EB4A" w14:textId="77777777" w:rsidR="002A553B" w:rsidRPr="00702DAD" w:rsidRDefault="002A553B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bookmarkEnd w:id="10"/>
    <w:p w14:paraId="0C8EC59D" w14:textId="5DD60F59" w:rsidR="00702D9E" w:rsidRPr="00DD6BD3" w:rsidRDefault="00702D9E" w:rsidP="00702DAD">
      <w:pPr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Grupa UNIMOT dąży do budowania relacji opartych na wspólnych wartościach, odpowiedzialności </w:t>
      </w:r>
      <w:r w:rsidRPr="00DD6BD3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i</w:t>
      </w:r>
      <w:r w:rsidR="00A30E73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 </w:t>
      </w:r>
      <w:r w:rsidRPr="00DD6BD3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wzajemnym zaufaniu. W związku z tym oczekuje, że Partnerzy Biznesowi będą stosować się do poniższych zasad i dobrych praktyk:</w:t>
      </w:r>
    </w:p>
    <w:p w14:paraId="3FFD70F6" w14:textId="77777777" w:rsidR="002A553B" w:rsidRPr="00DD6BD3" w:rsidRDefault="002A553B" w:rsidP="00702DAD">
      <w:pPr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63238F30" w14:textId="77777777" w:rsidR="00702D9E" w:rsidRPr="00DD6BD3" w:rsidRDefault="00702D9E" w:rsidP="00702DAD">
      <w:pPr>
        <w:numPr>
          <w:ilvl w:val="0"/>
          <w:numId w:val="36"/>
        </w:numPr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DD6BD3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Przestrzeganie przepisów prawa</w:t>
      </w:r>
    </w:p>
    <w:p w14:paraId="1A8C272C" w14:textId="2242437B" w:rsidR="00702D9E" w:rsidRPr="00DD6BD3" w:rsidRDefault="00702D9E" w:rsidP="00702DAD">
      <w:pPr>
        <w:spacing w:after="0" w:line="276" w:lineRule="auto"/>
        <w:ind w:left="720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DD6BD3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Zapewnienie pełnej zgodności prowadzonej działalności z obowiązującymi przepisami prawa – krajowego, unijnego oraz międzynarodowego – a także z zasadami określonymi w niniejszym Kodeksie.</w:t>
      </w:r>
    </w:p>
    <w:p w14:paraId="36207C0F" w14:textId="77777777" w:rsidR="00702D9E" w:rsidRPr="00DD6BD3" w:rsidRDefault="00702D9E" w:rsidP="00702DAD">
      <w:pPr>
        <w:spacing w:after="0" w:line="276" w:lineRule="auto"/>
        <w:ind w:left="720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160503CB" w14:textId="77777777" w:rsidR="00702D9E" w:rsidRPr="00DD6BD3" w:rsidRDefault="00702D9E" w:rsidP="00702DAD">
      <w:pPr>
        <w:numPr>
          <w:ilvl w:val="0"/>
          <w:numId w:val="36"/>
        </w:numPr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DD6BD3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Stosowanie wyższych standardów</w:t>
      </w:r>
    </w:p>
    <w:p w14:paraId="152A60E1" w14:textId="0ACA82B5" w:rsidR="00702D9E" w:rsidRPr="00DD6BD3" w:rsidRDefault="00702D9E" w:rsidP="00702DAD">
      <w:pPr>
        <w:spacing w:after="0" w:line="276" w:lineRule="auto"/>
        <w:ind w:left="720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DD6BD3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Kierowanie się zasadami Kodeksu również w sytuacjach, gdy ustanawiają one wyższe wymagania niż obowiązujące przepisy prawa.</w:t>
      </w:r>
    </w:p>
    <w:p w14:paraId="214962A4" w14:textId="77777777" w:rsidR="00702D9E" w:rsidRPr="00DD6BD3" w:rsidRDefault="00702D9E" w:rsidP="00702DAD">
      <w:pPr>
        <w:spacing w:after="0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15D35016" w14:textId="77777777" w:rsidR="00702D9E" w:rsidRPr="00DD6BD3" w:rsidRDefault="00702D9E" w:rsidP="00702DAD">
      <w:pPr>
        <w:numPr>
          <w:ilvl w:val="0"/>
          <w:numId w:val="36"/>
        </w:numPr>
        <w:spacing w:after="0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DD6BD3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Samoocena zgodności</w:t>
      </w:r>
      <w:r w:rsidRPr="00DD6BD3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br/>
        <w:t xml:space="preserve">Podejmowanie działań w zakresie samooceny zgodności z postanowieniami Kodeksu – w tym poprzez wypełnienie formularza oceny własnej, stanowiącego </w:t>
      </w:r>
      <w:r w:rsidRPr="00DD6BD3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Załącznik nr 1</w:t>
      </w:r>
      <w:r w:rsidRPr="00DD6BD3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do niniejszego dokumentu – w razie potrzeby i na wniosek Grupy UNIMOT.</w:t>
      </w:r>
    </w:p>
    <w:p w14:paraId="349819A9" w14:textId="77777777" w:rsidR="00DD6BD3" w:rsidRPr="00702DAD" w:rsidRDefault="00DD6BD3" w:rsidP="00702DAD">
      <w:pPr>
        <w:spacing w:after="0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70534231" w14:textId="77777777" w:rsidR="00FE3606" w:rsidRPr="00702DAD" w:rsidRDefault="00702D9E" w:rsidP="00702DAD">
      <w:pPr>
        <w:numPr>
          <w:ilvl w:val="0"/>
          <w:numId w:val="36"/>
        </w:numPr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02DAD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Współpraca w ramach audytów</w:t>
      </w:r>
    </w:p>
    <w:p w14:paraId="66B4263E" w14:textId="68EF6EE0" w:rsidR="00702D9E" w:rsidRPr="00702DAD" w:rsidRDefault="00702D9E" w:rsidP="00702DAD">
      <w:pPr>
        <w:spacing w:after="0" w:line="276" w:lineRule="auto"/>
        <w:ind w:left="708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Otwartość i gotowość do współpracy w przypadku audytów przeprowadzanych przez Grupę UN</w:t>
      </w:r>
      <w:r w:rsidR="00BA393E"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IMOT</w:t>
      </w: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lub upoważnione przez nią podmioty, w zakresie oceny przestrzegania standardów niniejszego Kodeksu</w:t>
      </w:r>
      <w:r w:rsidR="0029025E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z zastrzeżeniem</w:t>
      </w:r>
      <w:r w:rsidR="001F5D5A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zachowania przez Grupę UNIMOT</w:t>
      </w:r>
      <w:r w:rsidR="0029025E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poufności przekazywanych informacji</w:t>
      </w: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.</w:t>
      </w:r>
    </w:p>
    <w:p w14:paraId="1FA3A979" w14:textId="77777777" w:rsidR="00702D9E" w:rsidRDefault="00702D9E" w:rsidP="00702DAD">
      <w:pPr>
        <w:spacing w:after="0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2D5D8FE3" w14:textId="77777777" w:rsidR="00702D9E" w:rsidRPr="00702DAD" w:rsidRDefault="00702D9E" w:rsidP="00702DAD">
      <w:pPr>
        <w:numPr>
          <w:ilvl w:val="0"/>
          <w:numId w:val="36"/>
        </w:numPr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02DAD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Transparentność w obszarze ESG</w:t>
      </w:r>
    </w:p>
    <w:p w14:paraId="3EC608DB" w14:textId="5F3E2155" w:rsidR="00702D9E" w:rsidRPr="00702DAD" w:rsidRDefault="00702D9E" w:rsidP="00702DAD">
      <w:pPr>
        <w:spacing w:after="0" w:line="276" w:lineRule="auto"/>
        <w:ind w:left="720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Rzetelne, terminowe i kompletne przekazywanie informacji dotyczących aspektów środowiskowych, społecznych oraz ładu korporacyjnego (ESG) – na uzasadnione żądanie Grupy </w:t>
      </w:r>
      <w:r w:rsidR="00BA393E"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UNIMOT</w:t>
      </w: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.</w:t>
      </w:r>
    </w:p>
    <w:p w14:paraId="43AB3414" w14:textId="77777777" w:rsidR="002A553B" w:rsidRDefault="002A553B" w:rsidP="00702DAD">
      <w:pPr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4E4E8696" w14:textId="3240C761" w:rsidR="00702D9E" w:rsidRPr="00702DAD" w:rsidRDefault="00702D9E" w:rsidP="00702DAD">
      <w:pPr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Grupa UNIMOT zastrzega sobie prawo do odmowy nawiązania lub zakończenia współpracy z Partnerem Biznesowym, który nie przestrzega obowiązujących przepisów prawa, niniejszego Kodeksu lub </w:t>
      </w:r>
      <w:r w:rsidR="0029025E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istotnych </w:t>
      </w: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zasad etyki biznesowej Grupy</w:t>
      </w:r>
      <w:r w:rsidR="00FE3606"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UNIMOT</w:t>
      </w: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.</w:t>
      </w:r>
    </w:p>
    <w:p w14:paraId="5A68C78C" w14:textId="77777777" w:rsidR="00A30E73" w:rsidRDefault="00A30E73" w:rsidP="00702DAD">
      <w:pPr>
        <w:spacing w:after="0" w:line="276" w:lineRule="auto"/>
        <w:outlineLvl w:val="2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</w:p>
    <w:p w14:paraId="358DF7D8" w14:textId="60528FF0" w:rsidR="00702D9E" w:rsidRDefault="00702D9E" w:rsidP="00702DAD">
      <w:pPr>
        <w:spacing w:after="0" w:line="276" w:lineRule="auto"/>
        <w:outlineLvl w:val="2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702DAD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lastRenderedPageBreak/>
        <w:t>Uznanie alternatywnych standardów Partnerów</w:t>
      </w:r>
      <w:r w:rsidR="00BA393E" w:rsidRPr="00702DAD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 xml:space="preserve"> B</w:t>
      </w:r>
      <w:r w:rsidR="009F61C5" w:rsidRPr="00702DAD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iznesowych</w:t>
      </w:r>
    </w:p>
    <w:p w14:paraId="2476BF85" w14:textId="77777777" w:rsidR="002A553B" w:rsidRPr="00702DAD" w:rsidRDefault="002A553B" w:rsidP="00702DAD">
      <w:pPr>
        <w:spacing w:after="0" w:line="276" w:lineRule="auto"/>
        <w:outlineLvl w:val="2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</w:p>
    <w:p w14:paraId="2269DAA9" w14:textId="3DBD2807" w:rsidR="00702D9E" w:rsidRPr="00702DAD" w:rsidRDefault="00702D9E" w:rsidP="00702DAD">
      <w:pPr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Grupa UNIMOT uznaje, że niektórzy Partnerzy Biznesowi mogą funkcjonować w oparciu o własny </w:t>
      </w:r>
      <w:r w:rsidR="00D271B2"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kodeks postępowania</w:t>
      </w: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, przyjęty standard etyczny innego kontrahenta lub certyfikację w zakresie zrównoważonego rozwoju.</w:t>
      </w:r>
    </w:p>
    <w:p w14:paraId="51F639EB" w14:textId="77777777" w:rsidR="00702D9E" w:rsidRPr="00702DAD" w:rsidRDefault="00702D9E" w:rsidP="00702DAD">
      <w:pPr>
        <w:spacing w:after="0" w:line="276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702DAD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Grupa UNIMOT wspiera różnorodne podejścia do wdrażania zasad odpowiedzialnego i etycznego prowadzenia działalności. Jednocześnie zastrzega sobie prawo do samodzielnej oceny równoważności takich rozwiązań względem wymagań określonych w niniejszym Kodeksie.</w:t>
      </w:r>
    </w:p>
    <w:p w14:paraId="69B42160" w14:textId="77777777" w:rsidR="002A553B" w:rsidRPr="00702DAD" w:rsidRDefault="002A553B" w:rsidP="00DD6BD3">
      <w:pPr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37335AFC" w14:textId="4027930F" w:rsidR="004664A0" w:rsidRDefault="009D09E2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702DAD">
        <w:rPr>
          <w:rFonts w:ascii="Tahoma" w:hAnsi="Tahoma" w:cs="Tahoma"/>
          <w:b/>
          <w:bCs/>
          <w:sz w:val="20"/>
          <w:szCs w:val="20"/>
        </w:rPr>
        <w:t>ZGŁASZANIE NARUSZEŃ</w:t>
      </w:r>
    </w:p>
    <w:p w14:paraId="196F4B44" w14:textId="77777777" w:rsidR="002A553B" w:rsidRPr="00702DAD" w:rsidRDefault="002A553B" w:rsidP="00702DAD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9D24A9D" w14:textId="7532478F" w:rsidR="007F6F82" w:rsidRPr="00702DAD" w:rsidRDefault="007F6F82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Partnerzy Biznesowi powinni wdrożyć wewnętrzne kanały umożliwiające anonimowe zgłaszanie przypadków nieprawidłowości lub naruszeń</w:t>
      </w:r>
      <w:r w:rsidR="002C4FEA" w:rsidRPr="00702DAD">
        <w:rPr>
          <w:rFonts w:ascii="Tahoma" w:hAnsi="Tahoma" w:cs="Tahoma"/>
          <w:sz w:val="20"/>
          <w:szCs w:val="20"/>
        </w:rPr>
        <w:t xml:space="preserve"> </w:t>
      </w:r>
      <w:r w:rsidR="000C795D" w:rsidRPr="00702DAD">
        <w:rPr>
          <w:rFonts w:ascii="Tahoma" w:hAnsi="Tahoma" w:cs="Tahoma"/>
          <w:sz w:val="20"/>
          <w:szCs w:val="20"/>
        </w:rPr>
        <w:t xml:space="preserve">zasad etycznych </w:t>
      </w:r>
      <w:r w:rsidR="002C4FEA" w:rsidRPr="00702DAD">
        <w:rPr>
          <w:rFonts w:ascii="Tahoma" w:hAnsi="Tahoma" w:cs="Tahoma"/>
          <w:sz w:val="20"/>
          <w:szCs w:val="20"/>
        </w:rPr>
        <w:t>występujących po stronie Partnera Biznesowego</w:t>
      </w:r>
      <w:r w:rsidRPr="00702DAD">
        <w:rPr>
          <w:rFonts w:ascii="Tahoma" w:hAnsi="Tahoma" w:cs="Tahoma"/>
          <w:sz w:val="20"/>
          <w:szCs w:val="20"/>
        </w:rPr>
        <w:t xml:space="preserve">. Grupa </w:t>
      </w:r>
      <w:r w:rsidR="00FE3606" w:rsidRPr="00702DAD">
        <w:rPr>
          <w:rFonts w:ascii="Tahoma" w:hAnsi="Tahoma" w:cs="Tahoma"/>
          <w:sz w:val="20"/>
          <w:szCs w:val="20"/>
        </w:rPr>
        <w:t>UNIMOT</w:t>
      </w:r>
      <w:r w:rsidRPr="00702DAD">
        <w:rPr>
          <w:rFonts w:ascii="Tahoma" w:hAnsi="Tahoma" w:cs="Tahoma"/>
          <w:sz w:val="20"/>
          <w:szCs w:val="20"/>
        </w:rPr>
        <w:t xml:space="preserve"> zachęca również do zgłaszania istotnych naruszeń dotyczących współpracy </w:t>
      </w:r>
      <w:r w:rsidR="002C4FEA" w:rsidRPr="00702DAD">
        <w:rPr>
          <w:rFonts w:ascii="Tahoma" w:hAnsi="Tahoma" w:cs="Tahoma"/>
          <w:sz w:val="20"/>
          <w:szCs w:val="20"/>
        </w:rPr>
        <w:t xml:space="preserve">Partnera Biznesowego </w:t>
      </w:r>
      <w:r w:rsidRPr="00702DAD">
        <w:rPr>
          <w:rFonts w:ascii="Tahoma" w:hAnsi="Tahoma" w:cs="Tahoma"/>
          <w:sz w:val="20"/>
          <w:szCs w:val="20"/>
        </w:rPr>
        <w:t xml:space="preserve">z Grupą </w:t>
      </w:r>
      <w:r w:rsidR="00FE3606" w:rsidRPr="00702DAD">
        <w:rPr>
          <w:rFonts w:ascii="Tahoma" w:hAnsi="Tahoma" w:cs="Tahoma"/>
          <w:sz w:val="20"/>
          <w:szCs w:val="20"/>
        </w:rPr>
        <w:t>UNIMOT</w:t>
      </w:r>
      <w:r w:rsidRPr="00702DAD">
        <w:rPr>
          <w:rFonts w:ascii="Tahoma" w:hAnsi="Tahoma" w:cs="Tahoma"/>
          <w:sz w:val="20"/>
          <w:szCs w:val="20"/>
        </w:rPr>
        <w:t xml:space="preserve"> za pośrednictwem wskazanych kanałów kontaktu, przy zapewnieniu ochrony sygnalisty.</w:t>
      </w:r>
    </w:p>
    <w:p w14:paraId="776757D0" w14:textId="7D3007E6" w:rsidR="004664A0" w:rsidRPr="00702DAD" w:rsidRDefault="004664A0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 xml:space="preserve">Partnerzy Biznesowi, którzy uważają, że pracownik Grupy UNIMOT dopuścił się niezgodnego z prawem </w:t>
      </w:r>
      <w:r w:rsidR="00D271B2" w:rsidRPr="00702DAD">
        <w:rPr>
          <w:rFonts w:ascii="Tahoma" w:hAnsi="Tahoma" w:cs="Tahoma"/>
          <w:sz w:val="20"/>
          <w:szCs w:val="20"/>
        </w:rPr>
        <w:t xml:space="preserve">powinni </w:t>
      </w:r>
      <w:r w:rsidRPr="00702DAD">
        <w:rPr>
          <w:rFonts w:ascii="Tahoma" w:hAnsi="Tahoma" w:cs="Tahoma"/>
          <w:sz w:val="20"/>
          <w:szCs w:val="20"/>
        </w:rPr>
        <w:t xml:space="preserve">niezwłocznie zgłosić tę kwestię za pośrednictwem formularza online: </w:t>
      </w:r>
      <w:hyperlink r:id="rId7" w:history="1">
        <w:r w:rsidR="005C39ED" w:rsidRPr="00702DAD">
          <w:rPr>
            <w:rStyle w:val="Hipercze"/>
            <w:rFonts w:ascii="Tahoma" w:hAnsi="Tahoma" w:cs="Tahoma"/>
            <w:sz w:val="20"/>
            <w:szCs w:val="20"/>
          </w:rPr>
          <w:t>https://www.unimot.pl/zrownowazony-rozwoj/zglaszanie-naduzyc</w:t>
        </w:r>
      </w:hyperlink>
      <w:r w:rsidR="005C39ED" w:rsidRPr="00702DAD">
        <w:rPr>
          <w:rFonts w:ascii="Tahoma" w:hAnsi="Tahoma" w:cs="Tahoma"/>
          <w:sz w:val="20"/>
          <w:szCs w:val="20"/>
        </w:rPr>
        <w:t xml:space="preserve"> </w:t>
      </w:r>
    </w:p>
    <w:p w14:paraId="36AEAC4A" w14:textId="30B62047" w:rsidR="004664A0" w:rsidRPr="00702DAD" w:rsidRDefault="004664A0" w:rsidP="00702DAD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702DAD">
        <w:rPr>
          <w:rFonts w:ascii="Tahoma" w:hAnsi="Tahoma" w:cs="Tahoma"/>
          <w:sz w:val="20"/>
          <w:szCs w:val="20"/>
        </w:rPr>
        <w:t>Każde zgłoszenie zostanie przeanalizowane zgodnie z Procedurą</w:t>
      </w:r>
      <w:r w:rsidR="005C39ED" w:rsidRPr="00702DAD">
        <w:rPr>
          <w:rFonts w:ascii="Tahoma" w:hAnsi="Tahoma" w:cs="Tahoma"/>
          <w:sz w:val="20"/>
          <w:szCs w:val="20"/>
        </w:rPr>
        <w:t xml:space="preserve"> dokonywania zgłoszeń naruszeń prawa i podejmowania działań następczych </w:t>
      </w:r>
      <w:r w:rsidR="00A851A0">
        <w:rPr>
          <w:rFonts w:ascii="Tahoma" w:hAnsi="Tahoma" w:cs="Tahoma"/>
          <w:sz w:val="20"/>
          <w:szCs w:val="20"/>
        </w:rPr>
        <w:t>obowiązującą w danej spółce z Grupy U</w:t>
      </w:r>
      <w:r w:rsidR="00E401FF">
        <w:rPr>
          <w:rFonts w:ascii="Tahoma" w:hAnsi="Tahoma" w:cs="Tahoma"/>
          <w:sz w:val="20"/>
          <w:szCs w:val="20"/>
        </w:rPr>
        <w:t>NIMOT</w:t>
      </w:r>
      <w:r w:rsidR="00A851A0">
        <w:rPr>
          <w:rFonts w:ascii="Tahoma" w:hAnsi="Tahoma" w:cs="Tahoma"/>
          <w:sz w:val="20"/>
          <w:szCs w:val="20"/>
        </w:rPr>
        <w:t>.</w:t>
      </w:r>
      <w:r w:rsidRPr="00702DAD">
        <w:rPr>
          <w:rFonts w:ascii="Tahoma" w:hAnsi="Tahoma" w:cs="Tahoma"/>
          <w:sz w:val="20"/>
          <w:szCs w:val="20"/>
        </w:rPr>
        <w:t xml:space="preserve"> </w:t>
      </w:r>
    </w:p>
    <w:p w14:paraId="780DC926" w14:textId="39C92B73" w:rsidR="004664A0" w:rsidRPr="00702DAD" w:rsidRDefault="004664A0" w:rsidP="00702DAD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14:paraId="0BB750E0" w14:textId="77777777" w:rsidR="005C39ED" w:rsidRPr="00702DAD" w:rsidRDefault="005C39ED" w:rsidP="00702DAD">
      <w:pPr>
        <w:spacing w:after="0" w:line="276" w:lineRule="auto"/>
        <w:rPr>
          <w:rFonts w:ascii="Tahoma" w:hAnsi="Tahoma" w:cs="Tahoma"/>
          <w:sz w:val="20"/>
          <w:szCs w:val="20"/>
        </w:rPr>
      </w:pPr>
    </w:p>
    <w:sectPr w:rsidR="005C39ED" w:rsidRPr="00702D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2A03" w14:textId="77777777" w:rsidR="00BC61A3" w:rsidRDefault="00BC61A3" w:rsidP="008E43FA">
      <w:pPr>
        <w:spacing w:after="0" w:line="240" w:lineRule="auto"/>
      </w:pPr>
      <w:r>
        <w:separator/>
      </w:r>
    </w:p>
  </w:endnote>
  <w:endnote w:type="continuationSeparator" w:id="0">
    <w:p w14:paraId="560727BF" w14:textId="77777777" w:rsidR="00BC61A3" w:rsidRDefault="00BC61A3" w:rsidP="008E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791254788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093549" w14:textId="6D8D1921" w:rsidR="00A83401" w:rsidRPr="00A83401" w:rsidRDefault="00A83401">
            <w:pPr>
              <w:pStyle w:val="Stopka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83401">
              <w:rPr>
                <w:rFonts w:ascii="Tahoma" w:hAnsi="Tahoma" w:cs="Tahoma"/>
                <w:sz w:val="20"/>
                <w:szCs w:val="20"/>
              </w:rPr>
              <w:t xml:space="preserve">Strona </w:t>
            </w:r>
            <w:r w:rsidRPr="00A8340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83401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A8340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83401">
              <w:rPr>
                <w:rFonts w:ascii="Tahoma" w:hAnsi="Tahoma" w:cs="Tahoma"/>
                <w:sz w:val="20"/>
                <w:szCs w:val="20"/>
              </w:rPr>
              <w:t>2</w:t>
            </w:r>
            <w:r w:rsidRPr="00A8340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83401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A83401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A83401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A8340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83401">
              <w:rPr>
                <w:rFonts w:ascii="Tahoma" w:hAnsi="Tahoma" w:cs="Tahoma"/>
                <w:sz w:val="20"/>
                <w:szCs w:val="20"/>
              </w:rPr>
              <w:t>2</w:t>
            </w:r>
            <w:r w:rsidRPr="00A8340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79982AC" w14:textId="77777777" w:rsidR="008E43FA" w:rsidRDefault="008E4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34C6" w14:textId="77777777" w:rsidR="00BC61A3" w:rsidRDefault="00BC61A3" w:rsidP="008E43FA">
      <w:pPr>
        <w:spacing w:after="0" w:line="240" w:lineRule="auto"/>
      </w:pPr>
      <w:r>
        <w:separator/>
      </w:r>
    </w:p>
  </w:footnote>
  <w:footnote w:type="continuationSeparator" w:id="0">
    <w:p w14:paraId="68046060" w14:textId="77777777" w:rsidR="00BC61A3" w:rsidRDefault="00BC61A3" w:rsidP="008E4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EBD"/>
    <w:multiLevelType w:val="hybridMultilevel"/>
    <w:tmpl w:val="7DCC8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E1A"/>
    <w:multiLevelType w:val="hybridMultilevel"/>
    <w:tmpl w:val="3CA8609A"/>
    <w:lvl w:ilvl="0" w:tplc="47260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268D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F0215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FAE3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F0436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C5E9F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F2AB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09A0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DBE5A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8014CCC"/>
    <w:multiLevelType w:val="hybridMultilevel"/>
    <w:tmpl w:val="69FEA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6C05"/>
    <w:multiLevelType w:val="hybridMultilevel"/>
    <w:tmpl w:val="6ECE71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7D1A0C"/>
    <w:multiLevelType w:val="hybridMultilevel"/>
    <w:tmpl w:val="D36C96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3B45"/>
    <w:multiLevelType w:val="hybridMultilevel"/>
    <w:tmpl w:val="0C7688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25593"/>
    <w:multiLevelType w:val="hybridMultilevel"/>
    <w:tmpl w:val="4CCE085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94B23"/>
    <w:multiLevelType w:val="hybridMultilevel"/>
    <w:tmpl w:val="2BD4F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05FA2"/>
    <w:multiLevelType w:val="hybridMultilevel"/>
    <w:tmpl w:val="34C27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6E6E17"/>
    <w:multiLevelType w:val="hybridMultilevel"/>
    <w:tmpl w:val="B876FDB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6F5111"/>
    <w:multiLevelType w:val="multilevel"/>
    <w:tmpl w:val="9746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A0183"/>
    <w:multiLevelType w:val="hybridMultilevel"/>
    <w:tmpl w:val="A42A667C"/>
    <w:lvl w:ilvl="0" w:tplc="E280D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F97A98"/>
    <w:multiLevelType w:val="hybridMultilevel"/>
    <w:tmpl w:val="AF26B7C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8D5D48"/>
    <w:multiLevelType w:val="hybridMultilevel"/>
    <w:tmpl w:val="5AC0F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81712"/>
    <w:multiLevelType w:val="multilevel"/>
    <w:tmpl w:val="9472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BB046A"/>
    <w:multiLevelType w:val="hybridMultilevel"/>
    <w:tmpl w:val="526EDD08"/>
    <w:lvl w:ilvl="0" w:tplc="031A7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7464B5"/>
    <w:multiLevelType w:val="multilevel"/>
    <w:tmpl w:val="6572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C6087F"/>
    <w:multiLevelType w:val="hybridMultilevel"/>
    <w:tmpl w:val="5FE66F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270D83"/>
    <w:multiLevelType w:val="hybridMultilevel"/>
    <w:tmpl w:val="6BD08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F023D"/>
    <w:multiLevelType w:val="hybridMultilevel"/>
    <w:tmpl w:val="2C54EFC0"/>
    <w:lvl w:ilvl="0" w:tplc="2842E29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118B1"/>
    <w:multiLevelType w:val="hybridMultilevel"/>
    <w:tmpl w:val="B876FDB2"/>
    <w:lvl w:ilvl="0" w:tplc="C4A8F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AD5600"/>
    <w:multiLevelType w:val="hybridMultilevel"/>
    <w:tmpl w:val="DF28B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12E82"/>
    <w:multiLevelType w:val="hybridMultilevel"/>
    <w:tmpl w:val="312A9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C7CDA"/>
    <w:multiLevelType w:val="multilevel"/>
    <w:tmpl w:val="371A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D32B56"/>
    <w:multiLevelType w:val="hybridMultilevel"/>
    <w:tmpl w:val="281E6FEA"/>
    <w:lvl w:ilvl="0" w:tplc="CD0E50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F700C"/>
    <w:multiLevelType w:val="multilevel"/>
    <w:tmpl w:val="9CA4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665CCE"/>
    <w:multiLevelType w:val="hybridMultilevel"/>
    <w:tmpl w:val="2C9A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45D22"/>
    <w:multiLevelType w:val="hybridMultilevel"/>
    <w:tmpl w:val="C6D22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C1CD8"/>
    <w:multiLevelType w:val="hybridMultilevel"/>
    <w:tmpl w:val="B876FDB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A81662"/>
    <w:multiLevelType w:val="hybridMultilevel"/>
    <w:tmpl w:val="35A68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172ED"/>
    <w:multiLevelType w:val="hybridMultilevel"/>
    <w:tmpl w:val="DF28B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8069D"/>
    <w:multiLevelType w:val="multilevel"/>
    <w:tmpl w:val="DE0E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A63CC8"/>
    <w:multiLevelType w:val="hybridMultilevel"/>
    <w:tmpl w:val="0846C3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883191"/>
    <w:multiLevelType w:val="hybridMultilevel"/>
    <w:tmpl w:val="59940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829AD"/>
    <w:multiLevelType w:val="hybridMultilevel"/>
    <w:tmpl w:val="0EE608F8"/>
    <w:lvl w:ilvl="0" w:tplc="7728A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E49BC"/>
    <w:multiLevelType w:val="hybridMultilevel"/>
    <w:tmpl w:val="71CE6D0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7600D"/>
    <w:multiLevelType w:val="hybridMultilevel"/>
    <w:tmpl w:val="54EA15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25392875">
    <w:abstractNumId w:val="6"/>
  </w:num>
  <w:num w:numId="2" w16cid:durableId="612977351">
    <w:abstractNumId w:val="34"/>
  </w:num>
  <w:num w:numId="3" w16cid:durableId="1366758611">
    <w:abstractNumId w:val="25"/>
  </w:num>
  <w:num w:numId="4" w16cid:durableId="1784762263">
    <w:abstractNumId w:val="10"/>
  </w:num>
  <w:num w:numId="5" w16cid:durableId="947589792">
    <w:abstractNumId w:val="16"/>
  </w:num>
  <w:num w:numId="6" w16cid:durableId="1534883115">
    <w:abstractNumId w:val="18"/>
  </w:num>
  <w:num w:numId="7" w16cid:durableId="706027460">
    <w:abstractNumId w:val="35"/>
  </w:num>
  <w:num w:numId="8" w16cid:durableId="768696536">
    <w:abstractNumId w:val="15"/>
  </w:num>
  <w:num w:numId="9" w16cid:durableId="1784693785">
    <w:abstractNumId w:val="2"/>
  </w:num>
  <w:num w:numId="10" w16cid:durableId="276108470">
    <w:abstractNumId w:val="0"/>
  </w:num>
  <w:num w:numId="11" w16cid:durableId="1057171561">
    <w:abstractNumId w:val="11"/>
  </w:num>
  <w:num w:numId="12" w16cid:durableId="695039223">
    <w:abstractNumId w:val="4"/>
  </w:num>
  <w:num w:numId="13" w16cid:durableId="323703011">
    <w:abstractNumId w:val="27"/>
  </w:num>
  <w:num w:numId="14" w16cid:durableId="888999945">
    <w:abstractNumId w:val="19"/>
  </w:num>
  <w:num w:numId="15" w16cid:durableId="534005363">
    <w:abstractNumId w:val="20"/>
  </w:num>
  <w:num w:numId="16" w16cid:durableId="1401244082">
    <w:abstractNumId w:val="32"/>
  </w:num>
  <w:num w:numId="17" w16cid:durableId="1278678384">
    <w:abstractNumId w:val="29"/>
  </w:num>
  <w:num w:numId="18" w16cid:durableId="542449910">
    <w:abstractNumId w:val="33"/>
  </w:num>
  <w:num w:numId="19" w16cid:durableId="1802458666">
    <w:abstractNumId w:val="24"/>
  </w:num>
  <w:num w:numId="20" w16cid:durableId="497771909">
    <w:abstractNumId w:val="30"/>
  </w:num>
  <w:num w:numId="21" w16cid:durableId="1155294228">
    <w:abstractNumId w:val="22"/>
  </w:num>
  <w:num w:numId="22" w16cid:durableId="88741073">
    <w:abstractNumId w:val="21"/>
  </w:num>
  <w:num w:numId="23" w16cid:durableId="951665484">
    <w:abstractNumId w:val="28"/>
  </w:num>
  <w:num w:numId="24" w16cid:durableId="1929339768">
    <w:abstractNumId w:val="12"/>
  </w:num>
  <w:num w:numId="25" w16cid:durableId="827137339">
    <w:abstractNumId w:val="9"/>
  </w:num>
  <w:num w:numId="26" w16cid:durableId="986126326">
    <w:abstractNumId w:val="31"/>
  </w:num>
  <w:num w:numId="27" w16cid:durableId="446388097">
    <w:abstractNumId w:val="13"/>
  </w:num>
  <w:num w:numId="28" w16cid:durableId="1705985083">
    <w:abstractNumId w:val="14"/>
  </w:num>
  <w:num w:numId="29" w16cid:durableId="195775993">
    <w:abstractNumId w:val="5"/>
  </w:num>
  <w:num w:numId="30" w16cid:durableId="1953593094">
    <w:abstractNumId w:val="36"/>
  </w:num>
  <w:num w:numId="31" w16cid:durableId="1562206691">
    <w:abstractNumId w:val="3"/>
  </w:num>
  <w:num w:numId="32" w16cid:durableId="355621430">
    <w:abstractNumId w:val="8"/>
  </w:num>
  <w:num w:numId="33" w16cid:durableId="623076085">
    <w:abstractNumId w:val="17"/>
  </w:num>
  <w:num w:numId="34" w16cid:durableId="877939298">
    <w:abstractNumId w:val="26"/>
  </w:num>
  <w:num w:numId="35" w16cid:durableId="1339187076">
    <w:abstractNumId w:val="7"/>
  </w:num>
  <w:num w:numId="36" w16cid:durableId="208954095">
    <w:abstractNumId w:val="23"/>
  </w:num>
  <w:num w:numId="37" w16cid:durableId="156653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FD"/>
    <w:rsid w:val="00012FC6"/>
    <w:rsid w:val="00025C1F"/>
    <w:rsid w:val="000450D5"/>
    <w:rsid w:val="000607C9"/>
    <w:rsid w:val="00065D41"/>
    <w:rsid w:val="00084676"/>
    <w:rsid w:val="00084A37"/>
    <w:rsid w:val="0008767E"/>
    <w:rsid w:val="00094BBF"/>
    <w:rsid w:val="00095270"/>
    <w:rsid w:val="00095684"/>
    <w:rsid w:val="000A3444"/>
    <w:rsid w:val="000B4AF4"/>
    <w:rsid w:val="000C5C8F"/>
    <w:rsid w:val="000C795D"/>
    <w:rsid w:val="000D1ADB"/>
    <w:rsid w:val="000E34CA"/>
    <w:rsid w:val="000E5581"/>
    <w:rsid w:val="000E61A8"/>
    <w:rsid w:val="000F0AFC"/>
    <w:rsid w:val="000F3458"/>
    <w:rsid w:val="000F41D1"/>
    <w:rsid w:val="001127C2"/>
    <w:rsid w:val="001135C3"/>
    <w:rsid w:val="001309D0"/>
    <w:rsid w:val="00141CA9"/>
    <w:rsid w:val="00143395"/>
    <w:rsid w:val="001440DF"/>
    <w:rsid w:val="001677A1"/>
    <w:rsid w:val="00197734"/>
    <w:rsid w:val="001A1032"/>
    <w:rsid w:val="001B0003"/>
    <w:rsid w:val="001B1E3B"/>
    <w:rsid w:val="001C034D"/>
    <w:rsid w:val="001C781E"/>
    <w:rsid w:val="001D29A7"/>
    <w:rsid w:val="001D5A6E"/>
    <w:rsid w:val="001F5D5A"/>
    <w:rsid w:val="00203332"/>
    <w:rsid w:val="002056EC"/>
    <w:rsid w:val="00210FB4"/>
    <w:rsid w:val="00234E05"/>
    <w:rsid w:val="00253175"/>
    <w:rsid w:val="00264744"/>
    <w:rsid w:val="00265BE0"/>
    <w:rsid w:val="0029025E"/>
    <w:rsid w:val="0029540F"/>
    <w:rsid w:val="002A5226"/>
    <w:rsid w:val="002A553B"/>
    <w:rsid w:val="002C4FEA"/>
    <w:rsid w:val="002D6C6B"/>
    <w:rsid w:val="002E1BF0"/>
    <w:rsid w:val="002E6147"/>
    <w:rsid w:val="002E702E"/>
    <w:rsid w:val="002F4B19"/>
    <w:rsid w:val="002F7CCD"/>
    <w:rsid w:val="00317F68"/>
    <w:rsid w:val="00352240"/>
    <w:rsid w:val="003966AC"/>
    <w:rsid w:val="003A417B"/>
    <w:rsid w:val="003B6E6B"/>
    <w:rsid w:val="003B729D"/>
    <w:rsid w:val="003D077E"/>
    <w:rsid w:val="003E4255"/>
    <w:rsid w:val="003E4CF0"/>
    <w:rsid w:val="003E7297"/>
    <w:rsid w:val="003F0007"/>
    <w:rsid w:val="003F3F12"/>
    <w:rsid w:val="00413796"/>
    <w:rsid w:val="00414E1D"/>
    <w:rsid w:val="004156B5"/>
    <w:rsid w:val="00416A23"/>
    <w:rsid w:val="004257A4"/>
    <w:rsid w:val="00431B48"/>
    <w:rsid w:val="00451567"/>
    <w:rsid w:val="004659D8"/>
    <w:rsid w:val="004664A0"/>
    <w:rsid w:val="004922A0"/>
    <w:rsid w:val="00494210"/>
    <w:rsid w:val="004A6B2A"/>
    <w:rsid w:val="004C2B5E"/>
    <w:rsid w:val="004D01E9"/>
    <w:rsid w:val="004D20D0"/>
    <w:rsid w:val="004D52F4"/>
    <w:rsid w:val="004D6581"/>
    <w:rsid w:val="004E1F79"/>
    <w:rsid w:val="004F1B4F"/>
    <w:rsid w:val="004F3ADB"/>
    <w:rsid w:val="004F7157"/>
    <w:rsid w:val="00500A2A"/>
    <w:rsid w:val="00521803"/>
    <w:rsid w:val="0053790C"/>
    <w:rsid w:val="00541AC2"/>
    <w:rsid w:val="00546569"/>
    <w:rsid w:val="00546CE3"/>
    <w:rsid w:val="00547E08"/>
    <w:rsid w:val="00553F39"/>
    <w:rsid w:val="00555E43"/>
    <w:rsid w:val="005738EB"/>
    <w:rsid w:val="00587C7B"/>
    <w:rsid w:val="0059475A"/>
    <w:rsid w:val="005965D4"/>
    <w:rsid w:val="005A61E2"/>
    <w:rsid w:val="005B1AB1"/>
    <w:rsid w:val="005C39ED"/>
    <w:rsid w:val="005D0334"/>
    <w:rsid w:val="005F1061"/>
    <w:rsid w:val="00602B58"/>
    <w:rsid w:val="00611864"/>
    <w:rsid w:val="006156D3"/>
    <w:rsid w:val="006168CB"/>
    <w:rsid w:val="006224F2"/>
    <w:rsid w:val="00624D39"/>
    <w:rsid w:val="0062683C"/>
    <w:rsid w:val="006408D5"/>
    <w:rsid w:val="006422B9"/>
    <w:rsid w:val="00652484"/>
    <w:rsid w:val="006554D9"/>
    <w:rsid w:val="006612E8"/>
    <w:rsid w:val="00662263"/>
    <w:rsid w:val="006624C5"/>
    <w:rsid w:val="0068498A"/>
    <w:rsid w:val="00692F8F"/>
    <w:rsid w:val="006A443B"/>
    <w:rsid w:val="006A77F4"/>
    <w:rsid w:val="006E7A21"/>
    <w:rsid w:val="006F3458"/>
    <w:rsid w:val="006F5731"/>
    <w:rsid w:val="006F6DC1"/>
    <w:rsid w:val="00702D9E"/>
    <w:rsid w:val="00702DAD"/>
    <w:rsid w:val="007078EF"/>
    <w:rsid w:val="007153BB"/>
    <w:rsid w:val="00715D37"/>
    <w:rsid w:val="00716E1F"/>
    <w:rsid w:val="00725241"/>
    <w:rsid w:val="007320CC"/>
    <w:rsid w:val="00735B8F"/>
    <w:rsid w:val="00757CF0"/>
    <w:rsid w:val="00777207"/>
    <w:rsid w:val="00783409"/>
    <w:rsid w:val="00783AE5"/>
    <w:rsid w:val="00791C88"/>
    <w:rsid w:val="00792D7E"/>
    <w:rsid w:val="007A2828"/>
    <w:rsid w:val="007A6539"/>
    <w:rsid w:val="007B7207"/>
    <w:rsid w:val="007C3E97"/>
    <w:rsid w:val="007C61DB"/>
    <w:rsid w:val="007D1584"/>
    <w:rsid w:val="007E5B5C"/>
    <w:rsid w:val="007E616E"/>
    <w:rsid w:val="007F0027"/>
    <w:rsid w:val="007F411B"/>
    <w:rsid w:val="007F6F82"/>
    <w:rsid w:val="00805CAF"/>
    <w:rsid w:val="00817352"/>
    <w:rsid w:val="00817F4B"/>
    <w:rsid w:val="008326AC"/>
    <w:rsid w:val="00833289"/>
    <w:rsid w:val="00836310"/>
    <w:rsid w:val="008547C6"/>
    <w:rsid w:val="008552A5"/>
    <w:rsid w:val="00861115"/>
    <w:rsid w:val="00885747"/>
    <w:rsid w:val="008B0295"/>
    <w:rsid w:val="008B26FB"/>
    <w:rsid w:val="008B4AC5"/>
    <w:rsid w:val="008B7925"/>
    <w:rsid w:val="008C19FD"/>
    <w:rsid w:val="008C30B2"/>
    <w:rsid w:val="008E43FA"/>
    <w:rsid w:val="008F78A2"/>
    <w:rsid w:val="009352D1"/>
    <w:rsid w:val="00940517"/>
    <w:rsid w:val="00951823"/>
    <w:rsid w:val="0095432E"/>
    <w:rsid w:val="00962EC9"/>
    <w:rsid w:val="00964796"/>
    <w:rsid w:val="00976871"/>
    <w:rsid w:val="009827F9"/>
    <w:rsid w:val="00983AF4"/>
    <w:rsid w:val="00990AF1"/>
    <w:rsid w:val="00992F92"/>
    <w:rsid w:val="009A62DD"/>
    <w:rsid w:val="009B0ECC"/>
    <w:rsid w:val="009B49F2"/>
    <w:rsid w:val="009B4B3C"/>
    <w:rsid w:val="009C4CCF"/>
    <w:rsid w:val="009D09E2"/>
    <w:rsid w:val="009E47E1"/>
    <w:rsid w:val="009F61C5"/>
    <w:rsid w:val="00A00555"/>
    <w:rsid w:val="00A10EA8"/>
    <w:rsid w:val="00A15F7B"/>
    <w:rsid w:val="00A277F0"/>
    <w:rsid w:val="00A30E73"/>
    <w:rsid w:val="00A61BA3"/>
    <w:rsid w:val="00A61C83"/>
    <w:rsid w:val="00A83401"/>
    <w:rsid w:val="00A851A0"/>
    <w:rsid w:val="00A94CD2"/>
    <w:rsid w:val="00AA6E9E"/>
    <w:rsid w:val="00AD2D85"/>
    <w:rsid w:val="00AD33EC"/>
    <w:rsid w:val="00AD3D4E"/>
    <w:rsid w:val="00AF2302"/>
    <w:rsid w:val="00B11F6B"/>
    <w:rsid w:val="00B13740"/>
    <w:rsid w:val="00B13D08"/>
    <w:rsid w:val="00B244E4"/>
    <w:rsid w:val="00B53973"/>
    <w:rsid w:val="00B606D4"/>
    <w:rsid w:val="00B769B5"/>
    <w:rsid w:val="00B875C7"/>
    <w:rsid w:val="00BA044A"/>
    <w:rsid w:val="00BA393E"/>
    <w:rsid w:val="00BA3C68"/>
    <w:rsid w:val="00BB4A79"/>
    <w:rsid w:val="00BC0BD2"/>
    <w:rsid w:val="00BC57FE"/>
    <w:rsid w:val="00BC61A3"/>
    <w:rsid w:val="00C00CA5"/>
    <w:rsid w:val="00C01C57"/>
    <w:rsid w:val="00C07EB4"/>
    <w:rsid w:val="00C104CD"/>
    <w:rsid w:val="00C25D69"/>
    <w:rsid w:val="00C45F2A"/>
    <w:rsid w:val="00C6776A"/>
    <w:rsid w:val="00C872E9"/>
    <w:rsid w:val="00CA0A86"/>
    <w:rsid w:val="00CA11A6"/>
    <w:rsid w:val="00CA3C12"/>
    <w:rsid w:val="00CA77E1"/>
    <w:rsid w:val="00CA7A49"/>
    <w:rsid w:val="00CD1F16"/>
    <w:rsid w:val="00CE3946"/>
    <w:rsid w:val="00D06C52"/>
    <w:rsid w:val="00D25C4A"/>
    <w:rsid w:val="00D271B2"/>
    <w:rsid w:val="00D36912"/>
    <w:rsid w:val="00D36DBC"/>
    <w:rsid w:val="00D6785A"/>
    <w:rsid w:val="00D74486"/>
    <w:rsid w:val="00D85FC4"/>
    <w:rsid w:val="00D92C64"/>
    <w:rsid w:val="00D93371"/>
    <w:rsid w:val="00D9726B"/>
    <w:rsid w:val="00D97AF9"/>
    <w:rsid w:val="00DA38F1"/>
    <w:rsid w:val="00DA55F2"/>
    <w:rsid w:val="00DA65FB"/>
    <w:rsid w:val="00DA6D6C"/>
    <w:rsid w:val="00DA73AE"/>
    <w:rsid w:val="00DD1290"/>
    <w:rsid w:val="00DD6BD3"/>
    <w:rsid w:val="00DE5396"/>
    <w:rsid w:val="00DF772F"/>
    <w:rsid w:val="00E21A88"/>
    <w:rsid w:val="00E246E8"/>
    <w:rsid w:val="00E34B7F"/>
    <w:rsid w:val="00E401FF"/>
    <w:rsid w:val="00E51865"/>
    <w:rsid w:val="00E67744"/>
    <w:rsid w:val="00E82880"/>
    <w:rsid w:val="00E85C2A"/>
    <w:rsid w:val="00E95DDE"/>
    <w:rsid w:val="00EA5C8A"/>
    <w:rsid w:val="00EB29F2"/>
    <w:rsid w:val="00EC3919"/>
    <w:rsid w:val="00ED4AFF"/>
    <w:rsid w:val="00ED568D"/>
    <w:rsid w:val="00F02582"/>
    <w:rsid w:val="00F07C8E"/>
    <w:rsid w:val="00F45ADC"/>
    <w:rsid w:val="00F529B5"/>
    <w:rsid w:val="00F55FD7"/>
    <w:rsid w:val="00F66CA6"/>
    <w:rsid w:val="00F72F39"/>
    <w:rsid w:val="00F93ED0"/>
    <w:rsid w:val="00F9583E"/>
    <w:rsid w:val="00FA509F"/>
    <w:rsid w:val="00FB6CC8"/>
    <w:rsid w:val="00FC33FD"/>
    <w:rsid w:val="00FD34BC"/>
    <w:rsid w:val="00FE0E37"/>
    <w:rsid w:val="00FE3606"/>
    <w:rsid w:val="00FE6482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A9F8"/>
  <w15:chartTrackingRefBased/>
  <w15:docId w15:val="{1A4AE767-24AF-45C8-8A2C-0E7177DD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3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3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3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3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3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3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3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3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3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3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3F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C39E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9E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92C6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77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77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F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C0BD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E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3FA"/>
  </w:style>
  <w:style w:type="paragraph" w:styleId="Stopka">
    <w:name w:val="footer"/>
    <w:basedOn w:val="Normalny"/>
    <w:link w:val="StopkaZnak"/>
    <w:uiPriority w:val="99"/>
    <w:unhideWhenUsed/>
    <w:rsid w:val="008E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mot.pl/zrownowazony-rozwoj/zglaszanie-naduz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2482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Jarczyk-Wójtowicz</dc:creator>
  <cp:keywords/>
  <dc:description/>
  <cp:lastModifiedBy>Anna Mroszczyk</cp:lastModifiedBy>
  <cp:revision>24</cp:revision>
  <cp:lastPrinted>2026-01-07T12:14:00Z</cp:lastPrinted>
  <dcterms:created xsi:type="dcterms:W3CDTF">2025-11-07T14:31:00Z</dcterms:created>
  <dcterms:modified xsi:type="dcterms:W3CDTF">2026-01-07T12:14:00Z</dcterms:modified>
</cp:coreProperties>
</file>